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D427" w14:textId="77777777" w:rsidR="00A64482" w:rsidRPr="00124338" w:rsidRDefault="009A24E7" w:rsidP="00AD5272">
      <w:pPr>
        <w:ind w:right="-812"/>
        <w:rPr>
          <w:rFonts w:asciiTheme="minorHAnsi" w:hAnsiTheme="minorHAnsi" w:cstheme="minorHAnsi"/>
          <w:b/>
          <w:bCs/>
          <w:color w:val="000000"/>
        </w:rPr>
      </w:pPr>
      <w:bookmarkStart w:id="0" w:name="_GoBack"/>
      <w:bookmarkEnd w:id="0"/>
      <w:r w:rsidRPr="00124338">
        <w:rPr>
          <w:rFonts w:asciiTheme="minorHAnsi" w:hAnsiTheme="minorHAnsi" w:cstheme="minorHAnsi"/>
          <w:noProof/>
        </w:rPr>
        <w:drawing>
          <wp:anchor distT="0" distB="0" distL="114300" distR="114300" simplePos="0" relativeHeight="251661312" behindDoc="1" locked="0" layoutInCell="1" allowOverlap="1" wp14:anchorId="4FF5DD2D" wp14:editId="2632E336">
            <wp:simplePos x="0" y="0"/>
            <wp:positionH relativeFrom="column">
              <wp:posOffset>-600769</wp:posOffset>
            </wp:positionH>
            <wp:positionV relativeFrom="paragraph">
              <wp:posOffset>133350</wp:posOffset>
            </wp:positionV>
            <wp:extent cx="1704975" cy="439420"/>
            <wp:effectExtent l="0" t="0" r="9525" b="0"/>
            <wp:wrapTight wrapText="bothSides">
              <wp:wrapPolygon edited="0">
                <wp:start x="0" y="0"/>
                <wp:lineTo x="0" y="20601"/>
                <wp:lineTo x="21479" y="20601"/>
                <wp:lineTo x="21479" y="0"/>
                <wp:lineTo x="0" y="0"/>
              </wp:wrapPolygon>
            </wp:wrapTight>
            <wp:docPr id="3" name="Afbeelding 3" descr="FNV PROCESINDUSTRIE RGB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V PROCESINDUSTRIE RGB E-mai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049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F78" w:rsidRPr="00124338">
        <w:rPr>
          <w:rFonts w:asciiTheme="minorHAnsi" w:hAnsiTheme="minorHAnsi" w:cstheme="minorHAnsi"/>
          <w:noProof/>
        </w:rPr>
        <w:drawing>
          <wp:anchor distT="0" distB="0" distL="114300" distR="114300" simplePos="0" relativeHeight="251660288" behindDoc="1" locked="0" layoutInCell="1" allowOverlap="1" wp14:anchorId="09435C9F" wp14:editId="7844F69B">
            <wp:simplePos x="0" y="0"/>
            <wp:positionH relativeFrom="page">
              <wp:posOffset>5882005</wp:posOffset>
            </wp:positionH>
            <wp:positionV relativeFrom="paragraph">
              <wp:posOffset>0</wp:posOffset>
            </wp:positionV>
            <wp:extent cx="1354455" cy="823595"/>
            <wp:effectExtent l="0" t="0" r="0" b="0"/>
            <wp:wrapTight wrapText="bothSides">
              <wp:wrapPolygon edited="0">
                <wp:start x="0" y="0"/>
                <wp:lineTo x="0" y="20984"/>
                <wp:lineTo x="21266" y="20984"/>
                <wp:lineTo x="21266" y="0"/>
                <wp:lineTo x="0" y="0"/>
              </wp:wrapPolygon>
            </wp:wrapTight>
            <wp:docPr id="4" name="Afbeelding 4" descr="Tiedosto:Loparex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edosto:Loparex logo.png">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5445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1A261" w14:textId="77777777" w:rsidR="00AF6C75" w:rsidRPr="00124338" w:rsidRDefault="00AF6C75" w:rsidP="00AD5272">
      <w:pPr>
        <w:ind w:right="-812"/>
        <w:rPr>
          <w:rFonts w:asciiTheme="minorHAnsi" w:hAnsiTheme="minorHAnsi" w:cstheme="minorHAnsi"/>
          <w:b/>
          <w:bCs/>
          <w:color w:val="000000"/>
        </w:rPr>
      </w:pPr>
    </w:p>
    <w:p w14:paraId="6D8F1E48" w14:textId="4A15D22E" w:rsidR="006562B1" w:rsidRPr="00424E8C" w:rsidRDefault="006562B1" w:rsidP="00BD3F3A">
      <w:pPr>
        <w:ind w:right="-812"/>
        <w:jc w:val="center"/>
        <w:rPr>
          <w:rFonts w:asciiTheme="minorHAnsi" w:hAnsiTheme="minorHAnsi" w:cstheme="minorHAnsi"/>
          <w:b/>
          <w:bCs/>
          <w:color w:val="000000"/>
          <w:sz w:val="36"/>
          <w:szCs w:val="36"/>
        </w:rPr>
      </w:pPr>
      <w:r w:rsidRPr="00424E8C">
        <w:rPr>
          <w:rFonts w:asciiTheme="minorHAnsi" w:hAnsiTheme="minorHAnsi" w:cstheme="minorHAnsi"/>
          <w:b/>
          <w:bCs/>
          <w:color w:val="000000"/>
          <w:sz w:val="36"/>
          <w:szCs w:val="36"/>
        </w:rPr>
        <w:t xml:space="preserve">CAO </w:t>
      </w:r>
      <w:r w:rsidR="00A47EA9" w:rsidRPr="00424E8C">
        <w:rPr>
          <w:rFonts w:asciiTheme="minorHAnsi" w:hAnsiTheme="minorHAnsi" w:cstheme="minorHAnsi"/>
          <w:b/>
          <w:bCs/>
          <w:color w:val="000000"/>
          <w:sz w:val="36"/>
          <w:szCs w:val="36"/>
        </w:rPr>
        <w:t>2020 - 2021</w:t>
      </w:r>
      <w:r w:rsidRPr="00424E8C">
        <w:rPr>
          <w:rFonts w:asciiTheme="minorHAnsi" w:hAnsiTheme="minorHAnsi" w:cstheme="minorHAnsi"/>
          <w:b/>
          <w:bCs/>
          <w:color w:val="000000"/>
          <w:sz w:val="36"/>
          <w:szCs w:val="36"/>
        </w:rPr>
        <w:t xml:space="preserve"> Loparex BV</w:t>
      </w:r>
    </w:p>
    <w:p w14:paraId="26898F18" w14:textId="77777777" w:rsidR="006562B1" w:rsidRPr="00124338" w:rsidRDefault="006562B1" w:rsidP="00AD5272">
      <w:pPr>
        <w:rPr>
          <w:rFonts w:asciiTheme="minorHAnsi" w:hAnsiTheme="minorHAnsi" w:cstheme="minorHAnsi"/>
        </w:rPr>
      </w:pPr>
    </w:p>
    <w:p w14:paraId="0A64DD43" w14:textId="199F8331" w:rsidR="006562B1" w:rsidRPr="00124338" w:rsidRDefault="006562B1" w:rsidP="00AD5272">
      <w:pPr>
        <w:rPr>
          <w:rFonts w:asciiTheme="minorHAnsi" w:hAnsiTheme="minorHAnsi" w:cstheme="minorHAnsi"/>
        </w:rPr>
      </w:pPr>
      <w:r w:rsidRPr="00124338">
        <w:rPr>
          <w:rFonts w:asciiTheme="minorHAnsi" w:hAnsiTheme="minorHAnsi" w:cstheme="minorHAnsi"/>
        </w:rPr>
        <w:t xml:space="preserve">Op </w:t>
      </w:r>
      <w:r w:rsidR="001F1053" w:rsidRPr="00124338">
        <w:rPr>
          <w:rFonts w:asciiTheme="minorHAnsi" w:hAnsiTheme="minorHAnsi" w:cstheme="minorHAnsi"/>
        </w:rPr>
        <w:t xml:space="preserve">16 november, 7 en 15 december </w:t>
      </w:r>
      <w:r w:rsidRPr="00124338">
        <w:rPr>
          <w:rFonts w:asciiTheme="minorHAnsi" w:hAnsiTheme="minorHAnsi" w:cstheme="minorHAnsi"/>
        </w:rPr>
        <w:t>is er tu</w:t>
      </w:r>
      <w:r w:rsidR="00456412" w:rsidRPr="00124338">
        <w:rPr>
          <w:rFonts w:asciiTheme="minorHAnsi" w:hAnsiTheme="minorHAnsi" w:cstheme="minorHAnsi"/>
        </w:rPr>
        <w:t xml:space="preserve">ssen de directie van Loparex </w:t>
      </w:r>
      <w:r w:rsidRPr="00124338">
        <w:rPr>
          <w:rFonts w:asciiTheme="minorHAnsi" w:hAnsiTheme="minorHAnsi" w:cstheme="minorHAnsi"/>
        </w:rPr>
        <w:t xml:space="preserve">en FNV </w:t>
      </w:r>
      <w:r w:rsidR="00A64482" w:rsidRPr="00124338">
        <w:rPr>
          <w:rFonts w:asciiTheme="minorHAnsi" w:hAnsiTheme="minorHAnsi" w:cstheme="minorHAnsi"/>
        </w:rPr>
        <w:t>i</w:t>
      </w:r>
      <w:r w:rsidRPr="00124338">
        <w:rPr>
          <w:rFonts w:asciiTheme="minorHAnsi" w:hAnsiTheme="minorHAnsi" w:cstheme="minorHAnsi"/>
        </w:rPr>
        <w:t>ntensief overleg gevoerd over de CAO. De gesprekken hadden een prettig karakter en partijen hebben</w:t>
      </w:r>
      <w:r w:rsidR="004A5D9F">
        <w:rPr>
          <w:rFonts w:asciiTheme="minorHAnsi" w:hAnsiTheme="minorHAnsi" w:cstheme="minorHAnsi"/>
        </w:rPr>
        <w:t>, ondanks de huidige moeilijke omstandigheden,</w:t>
      </w:r>
      <w:r w:rsidRPr="00124338">
        <w:rPr>
          <w:rFonts w:asciiTheme="minorHAnsi" w:hAnsiTheme="minorHAnsi" w:cstheme="minorHAnsi"/>
        </w:rPr>
        <w:t xml:space="preserve"> een </w:t>
      </w:r>
      <w:r w:rsidR="005744F4">
        <w:rPr>
          <w:rFonts w:asciiTheme="minorHAnsi" w:hAnsiTheme="minorHAnsi" w:cstheme="minorHAnsi"/>
        </w:rPr>
        <w:t>eindvoorstel</w:t>
      </w:r>
      <w:r w:rsidRPr="00124338">
        <w:rPr>
          <w:rFonts w:asciiTheme="minorHAnsi" w:hAnsiTheme="minorHAnsi" w:cstheme="minorHAnsi"/>
        </w:rPr>
        <w:t xml:space="preserve"> bereikt.</w:t>
      </w:r>
      <w:r w:rsidR="00994942" w:rsidRPr="00124338">
        <w:rPr>
          <w:rFonts w:asciiTheme="minorHAnsi" w:hAnsiTheme="minorHAnsi" w:cstheme="minorHAnsi"/>
        </w:rPr>
        <w:t xml:space="preserve"> </w:t>
      </w:r>
      <w:r w:rsidRPr="00124338">
        <w:rPr>
          <w:rFonts w:asciiTheme="minorHAnsi" w:hAnsiTheme="minorHAnsi" w:cstheme="minorHAnsi"/>
        </w:rPr>
        <w:t xml:space="preserve">Het </w:t>
      </w:r>
      <w:r w:rsidR="009505EA">
        <w:rPr>
          <w:rFonts w:asciiTheme="minorHAnsi" w:hAnsiTheme="minorHAnsi" w:cstheme="minorHAnsi"/>
        </w:rPr>
        <w:t>eindvoorstel</w:t>
      </w:r>
      <w:r w:rsidRPr="00124338">
        <w:rPr>
          <w:rFonts w:asciiTheme="minorHAnsi" w:hAnsiTheme="minorHAnsi" w:cstheme="minorHAnsi"/>
        </w:rPr>
        <w:t xml:space="preserve"> zal door FNV </w:t>
      </w:r>
      <w:r w:rsidR="00293479">
        <w:rPr>
          <w:rFonts w:asciiTheme="minorHAnsi" w:hAnsiTheme="minorHAnsi" w:cstheme="minorHAnsi"/>
        </w:rPr>
        <w:t xml:space="preserve">neutraal en </w:t>
      </w:r>
      <w:r w:rsidR="00424E8C">
        <w:rPr>
          <w:rFonts w:asciiTheme="minorHAnsi" w:hAnsiTheme="minorHAnsi" w:cstheme="minorHAnsi"/>
        </w:rPr>
        <w:t xml:space="preserve">schriftelijk </w:t>
      </w:r>
      <w:r w:rsidR="00864AD9" w:rsidRPr="00124338">
        <w:rPr>
          <w:rFonts w:asciiTheme="minorHAnsi" w:hAnsiTheme="minorHAnsi" w:cstheme="minorHAnsi"/>
        </w:rPr>
        <w:t>aan de leden worden voorgelegd</w:t>
      </w:r>
      <w:r w:rsidR="00424E8C">
        <w:rPr>
          <w:rFonts w:asciiTheme="minorHAnsi" w:hAnsiTheme="minorHAnsi" w:cstheme="minorHAnsi"/>
        </w:rPr>
        <w:t>.</w:t>
      </w:r>
      <w:r w:rsidR="00293479">
        <w:rPr>
          <w:rFonts w:asciiTheme="minorHAnsi" w:hAnsiTheme="minorHAnsi" w:cstheme="minorHAnsi"/>
        </w:rPr>
        <w:t xml:space="preserve"> We hopen vóór het einde van het jaar de instemming van de leden te hebben.</w:t>
      </w:r>
    </w:p>
    <w:p w14:paraId="5E65A642" w14:textId="77777777" w:rsidR="00293479" w:rsidRPr="00124338" w:rsidRDefault="00293479" w:rsidP="00AD5272">
      <w:pPr>
        <w:rPr>
          <w:rFonts w:asciiTheme="minorHAnsi" w:hAnsiTheme="minorHAnsi" w:cstheme="minorHAnsi"/>
        </w:rPr>
      </w:pPr>
    </w:p>
    <w:p w14:paraId="58249716" w14:textId="77777777" w:rsidR="006562B1" w:rsidRPr="00124338" w:rsidRDefault="006562B1" w:rsidP="00AD5272">
      <w:pPr>
        <w:rPr>
          <w:rFonts w:asciiTheme="minorHAnsi" w:hAnsiTheme="minorHAnsi" w:cstheme="minorHAnsi"/>
          <w:b/>
          <w:color w:val="0070C0"/>
          <w:lang w:eastAsia="ar-SA"/>
        </w:rPr>
      </w:pPr>
      <w:r w:rsidRPr="00124338">
        <w:rPr>
          <w:rFonts w:asciiTheme="minorHAnsi" w:hAnsiTheme="minorHAnsi" w:cstheme="minorHAnsi"/>
          <w:b/>
          <w:color w:val="0070C0"/>
          <w:lang w:eastAsia="ar-SA"/>
        </w:rPr>
        <w:t>Looptijd</w:t>
      </w:r>
    </w:p>
    <w:p w14:paraId="0EC4FF90" w14:textId="5D9157E0" w:rsidR="006562B1" w:rsidRPr="00124338" w:rsidRDefault="006562B1" w:rsidP="00AD5272">
      <w:pPr>
        <w:rPr>
          <w:rFonts w:asciiTheme="minorHAnsi" w:hAnsiTheme="minorHAnsi" w:cstheme="minorHAnsi"/>
        </w:rPr>
      </w:pPr>
      <w:r w:rsidRPr="00124338">
        <w:rPr>
          <w:rFonts w:asciiTheme="minorHAnsi" w:hAnsiTheme="minorHAnsi" w:cstheme="minorHAnsi"/>
        </w:rPr>
        <w:t xml:space="preserve">De nieuwe CAO heeft een looptijd van </w:t>
      </w:r>
      <w:r w:rsidR="002305E7" w:rsidRPr="00124338">
        <w:rPr>
          <w:rFonts w:asciiTheme="minorHAnsi" w:hAnsiTheme="minorHAnsi" w:cstheme="minorHAnsi"/>
        </w:rPr>
        <w:t>1</w:t>
      </w:r>
      <w:r w:rsidRPr="00124338">
        <w:rPr>
          <w:rFonts w:asciiTheme="minorHAnsi" w:hAnsiTheme="minorHAnsi" w:cstheme="minorHAnsi"/>
        </w:rPr>
        <w:t xml:space="preserve"> jaar </w:t>
      </w:r>
      <w:r w:rsidR="003740FE" w:rsidRPr="00124338">
        <w:rPr>
          <w:rFonts w:asciiTheme="minorHAnsi" w:hAnsiTheme="minorHAnsi" w:cstheme="minorHAnsi"/>
        </w:rPr>
        <w:t xml:space="preserve">en 5 maanden </w:t>
      </w:r>
      <w:r w:rsidRPr="00124338">
        <w:rPr>
          <w:rFonts w:asciiTheme="minorHAnsi" w:hAnsiTheme="minorHAnsi" w:cstheme="minorHAnsi"/>
        </w:rPr>
        <w:t>en wel van 1 juni 20</w:t>
      </w:r>
      <w:r w:rsidR="003740FE" w:rsidRPr="00124338">
        <w:rPr>
          <w:rFonts w:asciiTheme="minorHAnsi" w:hAnsiTheme="minorHAnsi" w:cstheme="minorHAnsi"/>
        </w:rPr>
        <w:t>20</w:t>
      </w:r>
      <w:r w:rsidRPr="00124338">
        <w:rPr>
          <w:rFonts w:asciiTheme="minorHAnsi" w:hAnsiTheme="minorHAnsi" w:cstheme="minorHAnsi"/>
        </w:rPr>
        <w:t xml:space="preserve"> tot en met 31 </w:t>
      </w:r>
      <w:r w:rsidR="00B71451" w:rsidRPr="00124338">
        <w:rPr>
          <w:rFonts w:asciiTheme="minorHAnsi" w:hAnsiTheme="minorHAnsi" w:cstheme="minorHAnsi"/>
        </w:rPr>
        <w:t>oktober 2021</w:t>
      </w:r>
      <w:r w:rsidR="002305E7" w:rsidRPr="00124338">
        <w:rPr>
          <w:rFonts w:asciiTheme="minorHAnsi" w:hAnsiTheme="minorHAnsi" w:cstheme="minorHAnsi"/>
        </w:rPr>
        <w:t>.</w:t>
      </w:r>
    </w:p>
    <w:p w14:paraId="368CDF40" w14:textId="77777777" w:rsidR="003355FB" w:rsidRPr="00124338" w:rsidRDefault="003355FB" w:rsidP="00AD5272">
      <w:pPr>
        <w:rPr>
          <w:rFonts w:asciiTheme="minorHAnsi" w:hAnsiTheme="minorHAnsi" w:cstheme="minorHAnsi"/>
          <w:b/>
          <w:bCs/>
          <w:color w:val="000000"/>
          <w:u w:val="single"/>
        </w:rPr>
      </w:pPr>
    </w:p>
    <w:p w14:paraId="555D6CF8" w14:textId="77777777" w:rsidR="006562B1" w:rsidRPr="00124338" w:rsidRDefault="006562B1" w:rsidP="00AD5272">
      <w:pPr>
        <w:rPr>
          <w:rFonts w:asciiTheme="minorHAnsi" w:hAnsiTheme="minorHAnsi" w:cstheme="minorHAnsi"/>
          <w:b/>
          <w:color w:val="0070C0"/>
          <w:lang w:eastAsia="ar-SA"/>
        </w:rPr>
      </w:pPr>
      <w:r w:rsidRPr="00124338">
        <w:rPr>
          <w:rFonts w:asciiTheme="minorHAnsi" w:hAnsiTheme="minorHAnsi" w:cstheme="minorHAnsi"/>
          <w:b/>
          <w:color w:val="0070C0"/>
          <w:lang w:eastAsia="ar-SA"/>
        </w:rPr>
        <w:t>Initiële loonsverhoging</w:t>
      </w:r>
    </w:p>
    <w:p w14:paraId="7C2A544F" w14:textId="6BE84950" w:rsidR="006562B1" w:rsidRPr="00124338" w:rsidRDefault="006562B1" w:rsidP="00AD5272">
      <w:pPr>
        <w:rPr>
          <w:rFonts w:asciiTheme="minorHAnsi" w:hAnsiTheme="minorHAnsi" w:cstheme="minorHAnsi"/>
          <w:color w:val="000000"/>
        </w:rPr>
      </w:pPr>
      <w:r w:rsidRPr="00124338">
        <w:rPr>
          <w:rFonts w:asciiTheme="minorHAnsi" w:hAnsiTheme="minorHAnsi" w:cstheme="minorHAnsi"/>
          <w:color w:val="000000"/>
        </w:rPr>
        <w:t xml:space="preserve">De salarissen voor de CAO worden gedurende de looptijd </w:t>
      </w:r>
      <w:r w:rsidR="00F145D6" w:rsidRPr="00124338">
        <w:rPr>
          <w:rFonts w:asciiTheme="minorHAnsi" w:hAnsiTheme="minorHAnsi" w:cstheme="minorHAnsi"/>
          <w:color w:val="000000"/>
        </w:rPr>
        <w:t xml:space="preserve">met </w:t>
      </w:r>
      <w:r w:rsidR="00124338" w:rsidRPr="00124338">
        <w:rPr>
          <w:rFonts w:asciiTheme="minorHAnsi" w:hAnsiTheme="minorHAnsi" w:cstheme="minorHAnsi"/>
          <w:color w:val="000000"/>
        </w:rPr>
        <w:t>2,</w:t>
      </w:r>
      <w:r w:rsidR="002D7222">
        <w:rPr>
          <w:rFonts w:asciiTheme="minorHAnsi" w:hAnsiTheme="minorHAnsi" w:cstheme="minorHAnsi"/>
          <w:color w:val="000000"/>
        </w:rPr>
        <w:t>3</w:t>
      </w:r>
      <w:r w:rsidR="00124338" w:rsidRPr="00124338">
        <w:rPr>
          <w:rFonts w:asciiTheme="minorHAnsi" w:hAnsiTheme="minorHAnsi" w:cstheme="minorHAnsi"/>
          <w:color w:val="000000"/>
        </w:rPr>
        <w:t>%</w:t>
      </w:r>
      <w:r w:rsidR="00F145D6" w:rsidRPr="00124338">
        <w:rPr>
          <w:rFonts w:asciiTheme="minorHAnsi" w:hAnsiTheme="minorHAnsi" w:cstheme="minorHAnsi"/>
          <w:color w:val="000000"/>
        </w:rPr>
        <w:t xml:space="preserve"> </w:t>
      </w:r>
      <w:r w:rsidRPr="00124338">
        <w:rPr>
          <w:rFonts w:asciiTheme="minorHAnsi" w:hAnsiTheme="minorHAnsi" w:cstheme="minorHAnsi"/>
          <w:color w:val="000000"/>
        </w:rPr>
        <w:t xml:space="preserve">verhoogd </w:t>
      </w:r>
      <w:r w:rsidR="00AA6166" w:rsidRPr="00124338">
        <w:rPr>
          <w:rFonts w:asciiTheme="minorHAnsi" w:hAnsiTheme="minorHAnsi" w:cstheme="minorHAnsi"/>
          <w:color w:val="000000"/>
        </w:rPr>
        <w:t xml:space="preserve">per 1 </w:t>
      </w:r>
      <w:r w:rsidR="00124338" w:rsidRPr="00124338">
        <w:rPr>
          <w:rFonts w:asciiTheme="minorHAnsi" w:hAnsiTheme="minorHAnsi" w:cstheme="minorHAnsi"/>
          <w:color w:val="000000"/>
        </w:rPr>
        <w:t>januari 2021.</w:t>
      </w:r>
    </w:p>
    <w:p w14:paraId="7EF16251" w14:textId="06B07A12" w:rsidR="006B66E1" w:rsidRPr="00124338" w:rsidRDefault="006B66E1" w:rsidP="00AD5272">
      <w:pPr>
        <w:rPr>
          <w:rFonts w:asciiTheme="minorHAnsi" w:hAnsiTheme="minorHAnsi" w:cstheme="minorHAnsi"/>
          <w:color w:val="000000"/>
        </w:rPr>
      </w:pPr>
    </w:p>
    <w:p w14:paraId="350292B1" w14:textId="77777777" w:rsidR="00AE2309" w:rsidRPr="00124338" w:rsidRDefault="00AE2309" w:rsidP="00AE2309">
      <w:pPr>
        <w:rPr>
          <w:rFonts w:asciiTheme="minorHAnsi" w:hAnsiTheme="minorHAnsi" w:cstheme="minorHAnsi"/>
          <w:b/>
          <w:color w:val="0070C0"/>
          <w:lang w:eastAsia="ar-SA"/>
        </w:rPr>
      </w:pPr>
      <w:r w:rsidRPr="00124338">
        <w:rPr>
          <w:rFonts w:asciiTheme="minorHAnsi" w:hAnsiTheme="minorHAnsi" w:cstheme="minorHAnsi"/>
          <w:b/>
          <w:color w:val="0070C0"/>
          <w:lang w:eastAsia="ar-SA"/>
        </w:rPr>
        <w:t>RAB 2020</w:t>
      </w:r>
    </w:p>
    <w:p w14:paraId="02ADD30D" w14:textId="25CB6C19" w:rsidR="00AE2309" w:rsidRPr="00124338" w:rsidRDefault="00552B86" w:rsidP="00CC62C2">
      <w:pPr>
        <w:rPr>
          <w:rFonts w:asciiTheme="minorHAnsi" w:hAnsiTheme="minorHAnsi" w:cstheme="minorHAnsi"/>
          <w:color w:val="000000"/>
        </w:rPr>
      </w:pPr>
      <w:r>
        <w:rPr>
          <w:rFonts w:asciiTheme="minorHAnsi" w:hAnsiTheme="minorHAnsi" w:cstheme="minorHAnsi"/>
          <w:color w:val="000000"/>
        </w:rPr>
        <w:t>D</w:t>
      </w:r>
      <w:r w:rsidR="004A5D9F" w:rsidRPr="00124338">
        <w:rPr>
          <w:rFonts w:asciiTheme="minorHAnsi" w:hAnsiTheme="minorHAnsi" w:cstheme="minorHAnsi"/>
          <w:color w:val="000000"/>
        </w:rPr>
        <w:t xml:space="preserve">e RAB </w:t>
      </w:r>
      <w:r w:rsidR="00CC62C2">
        <w:rPr>
          <w:rFonts w:asciiTheme="minorHAnsi" w:hAnsiTheme="minorHAnsi" w:cstheme="minorHAnsi"/>
          <w:color w:val="000000"/>
        </w:rPr>
        <w:t xml:space="preserve">wordt </w:t>
      </w:r>
      <w:r w:rsidR="004A5D9F" w:rsidRPr="00124338">
        <w:rPr>
          <w:rFonts w:asciiTheme="minorHAnsi" w:hAnsiTheme="minorHAnsi" w:cstheme="minorHAnsi"/>
          <w:color w:val="000000"/>
        </w:rPr>
        <w:t>bepaald aan de hand van EBITDA</w:t>
      </w:r>
      <w:r>
        <w:rPr>
          <w:rFonts w:asciiTheme="minorHAnsi" w:hAnsiTheme="minorHAnsi" w:cstheme="minorHAnsi"/>
          <w:color w:val="000000"/>
        </w:rPr>
        <w:t xml:space="preserve"> en de </w:t>
      </w:r>
      <w:r w:rsidR="004A5D9F" w:rsidRPr="00124338">
        <w:rPr>
          <w:rFonts w:asciiTheme="minorHAnsi" w:hAnsiTheme="minorHAnsi" w:cstheme="minorHAnsi"/>
          <w:color w:val="000000"/>
        </w:rPr>
        <w:t>afvalcijfers. De uitkomsten hiervan zijn in 2020 dermate slecht, dat er normaliter geen RAB uitkering zou plaatsvinden.</w:t>
      </w:r>
      <w:r w:rsidR="00CC62C2">
        <w:rPr>
          <w:rFonts w:asciiTheme="minorHAnsi" w:hAnsiTheme="minorHAnsi" w:cstheme="minorHAnsi"/>
          <w:color w:val="000000"/>
        </w:rPr>
        <w:t xml:space="preserve"> </w:t>
      </w:r>
      <w:r w:rsidR="00AE2309" w:rsidRPr="00124338">
        <w:rPr>
          <w:rFonts w:asciiTheme="minorHAnsi" w:hAnsiTheme="minorHAnsi" w:cstheme="minorHAnsi"/>
          <w:color w:val="000000"/>
        </w:rPr>
        <w:t xml:space="preserve">Wij zijn </w:t>
      </w:r>
      <w:r w:rsidR="004A5D9F">
        <w:rPr>
          <w:rFonts w:asciiTheme="minorHAnsi" w:hAnsiTheme="minorHAnsi" w:cstheme="minorHAnsi"/>
          <w:color w:val="000000"/>
        </w:rPr>
        <w:t xml:space="preserve">echter </w:t>
      </w:r>
      <w:r w:rsidR="00AE2309" w:rsidRPr="00124338">
        <w:rPr>
          <w:rFonts w:asciiTheme="minorHAnsi" w:hAnsiTheme="minorHAnsi" w:cstheme="minorHAnsi"/>
          <w:color w:val="000000"/>
        </w:rPr>
        <w:t>een eenmalige uitkering overeengekomen van bruto EUR 200 per persoon, ongeacht het aantal contracturen, naar rato van de datum in dienst, zonder voorwaarden. Deze uitkering dient bezien te worden in relatie tot het verschrikkelijk moeilijke jaar.</w:t>
      </w:r>
      <w:r w:rsidR="004A5D9F">
        <w:rPr>
          <w:rFonts w:asciiTheme="minorHAnsi" w:hAnsiTheme="minorHAnsi" w:cstheme="minorHAnsi"/>
          <w:color w:val="000000"/>
        </w:rPr>
        <w:t xml:space="preserve"> Uitkering vindt plaats met de salarisbetaling van januari 2021.</w:t>
      </w:r>
    </w:p>
    <w:p w14:paraId="6186434E" w14:textId="1D565427" w:rsidR="00AE2309" w:rsidRPr="00124338" w:rsidRDefault="00AE2309" w:rsidP="00AE2309">
      <w:pPr>
        <w:rPr>
          <w:rFonts w:asciiTheme="minorHAnsi" w:hAnsiTheme="minorHAnsi" w:cstheme="minorHAnsi"/>
          <w:color w:val="000000"/>
        </w:rPr>
      </w:pPr>
    </w:p>
    <w:p w14:paraId="07355979" w14:textId="1F0DE603" w:rsidR="00644159" w:rsidRPr="00124338" w:rsidRDefault="00644159" w:rsidP="00AD5272">
      <w:pPr>
        <w:rPr>
          <w:rFonts w:asciiTheme="minorHAnsi" w:hAnsiTheme="minorHAnsi" w:cstheme="minorHAnsi"/>
          <w:b/>
          <w:color w:val="0070C0"/>
          <w:lang w:eastAsia="ar-SA"/>
        </w:rPr>
      </w:pPr>
      <w:r w:rsidRPr="00124338">
        <w:rPr>
          <w:rFonts w:asciiTheme="minorHAnsi" w:hAnsiTheme="minorHAnsi" w:cstheme="minorHAnsi"/>
          <w:b/>
          <w:color w:val="0070C0"/>
          <w:lang w:eastAsia="ar-SA"/>
        </w:rPr>
        <w:t>Resultaatafhankelijke uitkering</w:t>
      </w:r>
      <w:r w:rsidR="004A5D9F">
        <w:rPr>
          <w:rFonts w:asciiTheme="minorHAnsi" w:hAnsiTheme="minorHAnsi" w:cstheme="minorHAnsi"/>
          <w:b/>
          <w:color w:val="0070C0"/>
          <w:lang w:eastAsia="ar-SA"/>
        </w:rPr>
        <w:t xml:space="preserve"> 2021</w:t>
      </w:r>
    </w:p>
    <w:p w14:paraId="39955792" w14:textId="0ABD7923" w:rsidR="003F291F" w:rsidRPr="00124338" w:rsidRDefault="00644159" w:rsidP="00E13385">
      <w:pPr>
        <w:rPr>
          <w:rFonts w:asciiTheme="minorHAnsi" w:hAnsiTheme="minorHAnsi" w:cstheme="minorHAnsi"/>
          <w:color w:val="000000"/>
        </w:rPr>
      </w:pPr>
      <w:r w:rsidRPr="00124338">
        <w:rPr>
          <w:rFonts w:asciiTheme="minorHAnsi" w:hAnsiTheme="minorHAnsi" w:cstheme="minorHAnsi"/>
          <w:color w:val="000000"/>
        </w:rPr>
        <w:t xml:space="preserve">De RAB </w:t>
      </w:r>
      <w:r w:rsidR="003F291F" w:rsidRPr="00124338">
        <w:rPr>
          <w:rFonts w:asciiTheme="minorHAnsi" w:hAnsiTheme="minorHAnsi" w:cstheme="minorHAnsi"/>
          <w:color w:val="000000"/>
        </w:rPr>
        <w:t>2021</w:t>
      </w:r>
      <w:r w:rsidRPr="00124338">
        <w:rPr>
          <w:rFonts w:asciiTheme="minorHAnsi" w:hAnsiTheme="minorHAnsi" w:cstheme="minorHAnsi"/>
          <w:color w:val="000000"/>
        </w:rPr>
        <w:t xml:space="preserve"> is wederom gebaseerd op zowel afval als EBITDA</w:t>
      </w:r>
      <w:r w:rsidR="00E13385" w:rsidRPr="00124338">
        <w:rPr>
          <w:rFonts w:asciiTheme="minorHAnsi" w:hAnsiTheme="minorHAnsi" w:cstheme="minorHAnsi"/>
          <w:color w:val="000000"/>
        </w:rPr>
        <w:t xml:space="preserve">. Voor 2021 keert de RAB per halfjaar </w:t>
      </w:r>
      <w:r w:rsidR="00293479">
        <w:rPr>
          <w:rFonts w:asciiTheme="minorHAnsi" w:hAnsiTheme="minorHAnsi" w:cstheme="minorHAnsi"/>
          <w:color w:val="000000"/>
        </w:rPr>
        <w:t xml:space="preserve">van 2021 </w:t>
      </w:r>
      <w:r w:rsidR="00293479" w:rsidRPr="00124338">
        <w:rPr>
          <w:rFonts w:asciiTheme="minorHAnsi" w:hAnsiTheme="minorHAnsi" w:cstheme="minorHAnsi"/>
          <w:color w:val="000000"/>
        </w:rPr>
        <w:t xml:space="preserve">uit </w:t>
      </w:r>
      <w:r w:rsidR="00E13385" w:rsidRPr="00124338">
        <w:rPr>
          <w:rFonts w:asciiTheme="minorHAnsi" w:hAnsiTheme="minorHAnsi" w:cstheme="minorHAnsi"/>
          <w:color w:val="000000"/>
        </w:rPr>
        <w:t xml:space="preserve">en </w:t>
      </w:r>
      <w:r w:rsidRPr="00124338">
        <w:rPr>
          <w:rFonts w:asciiTheme="minorHAnsi" w:hAnsiTheme="minorHAnsi" w:cstheme="minorHAnsi"/>
          <w:color w:val="000000"/>
        </w:rPr>
        <w:t>ziet er als volgt uit</w:t>
      </w:r>
      <w:r w:rsidR="00293479">
        <w:rPr>
          <w:rFonts w:asciiTheme="minorHAnsi" w:hAnsiTheme="minorHAnsi" w:cstheme="minorHAnsi"/>
          <w:color w:val="000000"/>
        </w:rPr>
        <w:t xml:space="preserve"> (genoemde bedragen zijn bruto)</w:t>
      </w:r>
      <w:r w:rsidR="00E13385" w:rsidRPr="00124338">
        <w:rPr>
          <w:rFonts w:asciiTheme="minorHAnsi" w:hAnsiTheme="minorHAnsi" w:cstheme="minorHAnsi"/>
          <w:color w:val="000000"/>
        </w:rPr>
        <w:t>:</w:t>
      </w:r>
    </w:p>
    <w:p w14:paraId="7D4F85AF" w14:textId="1C0F6EED" w:rsidR="003F291F" w:rsidRPr="00293479" w:rsidRDefault="003F291F" w:rsidP="00AD5272">
      <w:pPr>
        <w:rPr>
          <w:rFonts w:asciiTheme="minorHAnsi" w:hAnsiTheme="minorHAnsi" w:cstheme="minorHAnsi"/>
          <w:color w:val="000000"/>
          <w:sz w:val="12"/>
          <w:szCs w:val="12"/>
        </w:rPr>
      </w:pPr>
    </w:p>
    <w:tbl>
      <w:tblPr>
        <w:tblStyle w:val="Tabelraster"/>
        <w:tblW w:w="0" w:type="auto"/>
        <w:tblLook w:val="04A0" w:firstRow="1" w:lastRow="0" w:firstColumn="1" w:lastColumn="0" w:noHBand="0" w:noVBand="1"/>
      </w:tblPr>
      <w:tblGrid>
        <w:gridCol w:w="978"/>
        <w:gridCol w:w="2489"/>
      </w:tblGrid>
      <w:tr w:rsidR="003F291F" w:rsidRPr="00124338" w14:paraId="3162B21B" w14:textId="77777777" w:rsidTr="00A80B17">
        <w:tc>
          <w:tcPr>
            <w:tcW w:w="978" w:type="dxa"/>
          </w:tcPr>
          <w:p w14:paraId="6EC895B7" w14:textId="77777777" w:rsidR="003F291F" w:rsidRPr="00124338" w:rsidRDefault="003F291F" w:rsidP="00AD5272">
            <w:pPr>
              <w:rPr>
                <w:rFonts w:asciiTheme="minorHAnsi" w:hAnsiTheme="minorHAnsi" w:cstheme="minorHAnsi"/>
                <w:color w:val="000000"/>
              </w:rPr>
            </w:pPr>
          </w:p>
        </w:tc>
        <w:tc>
          <w:tcPr>
            <w:tcW w:w="2489" w:type="dxa"/>
          </w:tcPr>
          <w:p w14:paraId="20247329"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RAB doel per halfjaar</w:t>
            </w:r>
          </w:p>
        </w:tc>
      </w:tr>
      <w:tr w:rsidR="003F291F" w:rsidRPr="00124338" w14:paraId="616FE325" w14:textId="77777777" w:rsidTr="00A80B17">
        <w:tc>
          <w:tcPr>
            <w:tcW w:w="978" w:type="dxa"/>
          </w:tcPr>
          <w:p w14:paraId="325770DA" w14:textId="77777777" w:rsidR="003F291F" w:rsidRPr="00124338" w:rsidRDefault="003F291F" w:rsidP="00AD5272">
            <w:pPr>
              <w:rPr>
                <w:rFonts w:asciiTheme="minorHAnsi" w:hAnsiTheme="minorHAnsi" w:cstheme="minorHAnsi"/>
                <w:color w:val="000000"/>
              </w:rPr>
            </w:pPr>
          </w:p>
        </w:tc>
        <w:tc>
          <w:tcPr>
            <w:tcW w:w="2489" w:type="dxa"/>
          </w:tcPr>
          <w:p w14:paraId="5F913A21" w14:textId="77777777" w:rsidR="003F291F" w:rsidRPr="00124338" w:rsidRDefault="003F291F" w:rsidP="00AD5272">
            <w:pPr>
              <w:rPr>
                <w:rFonts w:asciiTheme="minorHAnsi" w:hAnsiTheme="minorHAnsi" w:cstheme="minorHAnsi"/>
                <w:color w:val="000000"/>
              </w:rPr>
            </w:pPr>
          </w:p>
        </w:tc>
      </w:tr>
      <w:tr w:rsidR="003F291F" w:rsidRPr="00124338" w14:paraId="52906F23" w14:textId="77777777" w:rsidTr="00A80B17">
        <w:tc>
          <w:tcPr>
            <w:tcW w:w="978" w:type="dxa"/>
          </w:tcPr>
          <w:p w14:paraId="1C69F682"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EBITDA</w:t>
            </w:r>
          </w:p>
        </w:tc>
        <w:tc>
          <w:tcPr>
            <w:tcW w:w="2489" w:type="dxa"/>
          </w:tcPr>
          <w:p w14:paraId="28229A91"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 xml:space="preserve">&gt; EUR 4 </w:t>
            </w:r>
            <w:proofErr w:type="spellStart"/>
            <w:r w:rsidRPr="00124338">
              <w:rPr>
                <w:rFonts w:asciiTheme="minorHAnsi" w:hAnsiTheme="minorHAnsi" w:cstheme="minorHAnsi"/>
                <w:color w:val="000000"/>
              </w:rPr>
              <w:t>mln</w:t>
            </w:r>
            <w:proofErr w:type="spellEnd"/>
            <w:r w:rsidRPr="00124338">
              <w:rPr>
                <w:rFonts w:asciiTheme="minorHAnsi" w:hAnsiTheme="minorHAnsi" w:cstheme="minorHAnsi"/>
                <w:color w:val="000000"/>
              </w:rPr>
              <w:t>: EUR 100</w:t>
            </w:r>
          </w:p>
        </w:tc>
      </w:tr>
      <w:tr w:rsidR="003F291F" w:rsidRPr="00124338" w14:paraId="65E13CEA" w14:textId="77777777" w:rsidTr="00A80B17">
        <w:tc>
          <w:tcPr>
            <w:tcW w:w="978" w:type="dxa"/>
          </w:tcPr>
          <w:p w14:paraId="0A046FFA" w14:textId="77777777" w:rsidR="003F291F" w:rsidRPr="00124338" w:rsidRDefault="003F291F" w:rsidP="00AD5272">
            <w:pPr>
              <w:rPr>
                <w:rFonts w:asciiTheme="minorHAnsi" w:hAnsiTheme="minorHAnsi" w:cstheme="minorHAnsi"/>
                <w:color w:val="000000"/>
              </w:rPr>
            </w:pPr>
          </w:p>
        </w:tc>
        <w:tc>
          <w:tcPr>
            <w:tcW w:w="2489" w:type="dxa"/>
          </w:tcPr>
          <w:p w14:paraId="674890A0"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 xml:space="preserve">&gt; EUR 4,5. </w:t>
            </w:r>
            <w:proofErr w:type="spellStart"/>
            <w:r w:rsidRPr="00124338">
              <w:rPr>
                <w:rFonts w:asciiTheme="minorHAnsi" w:hAnsiTheme="minorHAnsi" w:cstheme="minorHAnsi"/>
                <w:color w:val="000000"/>
              </w:rPr>
              <w:t>mln</w:t>
            </w:r>
            <w:proofErr w:type="spellEnd"/>
            <w:r w:rsidRPr="00124338">
              <w:rPr>
                <w:rFonts w:asciiTheme="minorHAnsi" w:hAnsiTheme="minorHAnsi" w:cstheme="minorHAnsi"/>
                <w:color w:val="000000"/>
              </w:rPr>
              <w:t>: EUR 200</w:t>
            </w:r>
          </w:p>
        </w:tc>
      </w:tr>
      <w:tr w:rsidR="003F291F" w:rsidRPr="00124338" w14:paraId="3A853AF2" w14:textId="77777777" w:rsidTr="00A80B17">
        <w:tc>
          <w:tcPr>
            <w:tcW w:w="978" w:type="dxa"/>
          </w:tcPr>
          <w:p w14:paraId="0CEAC157" w14:textId="77777777" w:rsidR="003F291F" w:rsidRPr="00124338" w:rsidRDefault="003F291F" w:rsidP="00AD5272">
            <w:pPr>
              <w:rPr>
                <w:rFonts w:asciiTheme="minorHAnsi" w:hAnsiTheme="minorHAnsi" w:cstheme="minorHAnsi"/>
                <w:color w:val="000000"/>
              </w:rPr>
            </w:pPr>
          </w:p>
        </w:tc>
        <w:tc>
          <w:tcPr>
            <w:tcW w:w="2489" w:type="dxa"/>
          </w:tcPr>
          <w:p w14:paraId="2507E266"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 xml:space="preserve">&gt; EUR 5 </w:t>
            </w:r>
            <w:proofErr w:type="spellStart"/>
            <w:r w:rsidRPr="00124338">
              <w:rPr>
                <w:rFonts w:asciiTheme="minorHAnsi" w:hAnsiTheme="minorHAnsi" w:cstheme="minorHAnsi"/>
                <w:color w:val="000000"/>
              </w:rPr>
              <w:t>mln</w:t>
            </w:r>
            <w:proofErr w:type="spellEnd"/>
            <w:r w:rsidRPr="00124338">
              <w:rPr>
                <w:rFonts w:asciiTheme="minorHAnsi" w:hAnsiTheme="minorHAnsi" w:cstheme="minorHAnsi"/>
                <w:color w:val="000000"/>
              </w:rPr>
              <w:t>: EUR 300</w:t>
            </w:r>
          </w:p>
        </w:tc>
      </w:tr>
      <w:tr w:rsidR="003F291F" w:rsidRPr="00124338" w14:paraId="29592ECD" w14:textId="77777777" w:rsidTr="00A80B17">
        <w:tc>
          <w:tcPr>
            <w:tcW w:w="978" w:type="dxa"/>
          </w:tcPr>
          <w:p w14:paraId="2433323A"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Afval</w:t>
            </w:r>
          </w:p>
        </w:tc>
        <w:tc>
          <w:tcPr>
            <w:tcW w:w="2489" w:type="dxa"/>
          </w:tcPr>
          <w:p w14:paraId="5B1AAC84"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&lt; 9,5%:   EUR 300</w:t>
            </w:r>
          </w:p>
        </w:tc>
      </w:tr>
      <w:tr w:rsidR="003F291F" w:rsidRPr="00124338" w14:paraId="432D8698" w14:textId="77777777" w:rsidTr="00A80B17">
        <w:tc>
          <w:tcPr>
            <w:tcW w:w="978" w:type="dxa"/>
          </w:tcPr>
          <w:p w14:paraId="5D65490F" w14:textId="77777777" w:rsidR="003F291F" w:rsidRPr="00124338" w:rsidRDefault="003F291F" w:rsidP="00AD5272">
            <w:pPr>
              <w:rPr>
                <w:rFonts w:asciiTheme="minorHAnsi" w:hAnsiTheme="minorHAnsi" w:cstheme="minorHAnsi"/>
                <w:color w:val="000000"/>
              </w:rPr>
            </w:pPr>
          </w:p>
        </w:tc>
        <w:tc>
          <w:tcPr>
            <w:tcW w:w="2489" w:type="dxa"/>
          </w:tcPr>
          <w:p w14:paraId="11B0B572"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&lt; 10%:   EUR 200</w:t>
            </w:r>
          </w:p>
        </w:tc>
      </w:tr>
      <w:tr w:rsidR="003F291F" w:rsidRPr="00124338" w14:paraId="7F994421" w14:textId="77777777" w:rsidTr="00A80B17">
        <w:tc>
          <w:tcPr>
            <w:tcW w:w="978" w:type="dxa"/>
          </w:tcPr>
          <w:p w14:paraId="44914731" w14:textId="77777777" w:rsidR="003F291F" w:rsidRPr="00124338" w:rsidRDefault="003F291F" w:rsidP="00AD5272">
            <w:pPr>
              <w:rPr>
                <w:rFonts w:asciiTheme="minorHAnsi" w:hAnsiTheme="minorHAnsi" w:cstheme="minorHAnsi"/>
                <w:color w:val="000000"/>
              </w:rPr>
            </w:pPr>
          </w:p>
        </w:tc>
        <w:tc>
          <w:tcPr>
            <w:tcW w:w="2489" w:type="dxa"/>
          </w:tcPr>
          <w:p w14:paraId="1464F1B4" w14:textId="77777777" w:rsidR="003F291F" w:rsidRPr="00124338" w:rsidRDefault="003F291F" w:rsidP="00AD5272">
            <w:pPr>
              <w:rPr>
                <w:rFonts w:asciiTheme="minorHAnsi" w:hAnsiTheme="minorHAnsi" w:cstheme="minorHAnsi"/>
                <w:color w:val="000000"/>
              </w:rPr>
            </w:pPr>
            <w:r w:rsidRPr="00124338">
              <w:rPr>
                <w:rFonts w:asciiTheme="minorHAnsi" w:hAnsiTheme="minorHAnsi" w:cstheme="minorHAnsi"/>
                <w:color w:val="000000"/>
              </w:rPr>
              <w:t>&lt; 10,5%: EUR 100</w:t>
            </w:r>
          </w:p>
        </w:tc>
      </w:tr>
    </w:tbl>
    <w:p w14:paraId="35D7999B" w14:textId="77777777" w:rsidR="003F291F" w:rsidRPr="00124338" w:rsidRDefault="003F291F" w:rsidP="00AD5272">
      <w:pPr>
        <w:rPr>
          <w:rFonts w:asciiTheme="minorHAnsi" w:hAnsiTheme="minorHAnsi" w:cstheme="minorHAnsi"/>
          <w:color w:val="000000"/>
        </w:rPr>
      </w:pPr>
    </w:p>
    <w:p w14:paraId="7D937DBC" w14:textId="33D349E3" w:rsidR="00644159" w:rsidRDefault="00644159" w:rsidP="00AD5272">
      <w:pPr>
        <w:pStyle w:val="Standaardteks"/>
        <w:rPr>
          <w:rFonts w:asciiTheme="minorHAnsi" w:hAnsiTheme="minorHAnsi" w:cstheme="minorHAnsi"/>
          <w:sz w:val="22"/>
          <w:szCs w:val="22"/>
        </w:rPr>
      </w:pPr>
      <w:r w:rsidRPr="00124338">
        <w:rPr>
          <w:rFonts w:asciiTheme="minorHAnsi" w:hAnsiTheme="minorHAnsi" w:cstheme="minorHAnsi"/>
          <w:sz w:val="22"/>
          <w:szCs w:val="22"/>
        </w:rPr>
        <w:t>De RAB komt tot uitkering bij het behalen van een target. Het bedrag zal naar rato van het dienstverband worden uitbetaald</w:t>
      </w:r>
      <w:r w:rsidR="004A5D9F">
        <w:rPr>
          <w:rFonts w:asciiTheme="minorHAnsi" w:hAnsiTheme="minorHAnsi" w:cstheme="minorHAnsi"/>
          <w:sz w:val="22"/>
          <w:szCs w:val="22"/>
        </w:rPr>
        <w:t>. Richtdata voor uitbetaling zijn september 2021 en maart 2022.</w:t>
      </w:r>
    </w:p>
    <w:p w14:paraId="1E53A307" w14:textId="21A7B858" w:rsidR="00C30157" w:rsidRDefault="00C30157" w:rsidP="00AD5272">
      <w:pPr>
        <w:pStyle w:val="Standaardteks"/>
        <w:rPr>
          <w:rFonts w:asciiTheme="minorHAnsi" w:hAnsiTheme="minorHAnsi" w:cstheme="minorHAnsi"/>
          <w:sz w:val="22"/>
          <w:szCs w:val="22"/>
        </w:rPr>
      </w:pPr>
    </w:p>
    <w:p w14:paraId="3A57CB41" w14:textId="12496DFE" w:rsidR="00CC62C2" w:rsidRPr="00293479" w:rsidRDefault="00293479" w:rsidP="00293479">
      <w:pPr>
        <w:rPr>
          <w:rFonts w:asciiTheme="minorHAnsi" w:hAnsiTheme="minorHAnsi" w:cstheme="minorHAnsi"/>
          <w:b/>
          <w:color w:val="0070C0"/>
          <w:lang w:eastAsia="ar-SA"/>
        </w:rPr>
      </w:pPr>
      <w:r w:rsidRPr="00293479">
        <w:rPr>
          <w:rFonts w:asciiTheme="minorHAnsi" w:hAnsiTheme="minorHAnsi" w:cstheme="minorHAnsi"/>
          <w:b/>
          <w:color w:val="0070C0"/>
          <w:lang w:eastAsia="ar-SA"/>
        </w:rPr>
        <w:t>RAB en uitzendkrachten</w:t>
      </w:r>
    </w:p>
    <w:p w14:paraId="2A2BB756" w14:textId="1DDA0C9E" w:rsidR="00C30157" w:rsidRPr="00124338" w:rsidRDefault="00C30157" w:rsidP="00AD5272">
      <w:pPr>
        <w:pStyle w:val="Standaardteks"/>
        <w:rPr>
          <w:rFonts w:asciiTheme="minorHAnsi" w:hAnsiTheme="minorHAnsi" w:cstheme="minorHAnsi"/>
          <w:sz w:val="22"/>
          <w:szCs w:val="22"/>
        </w:rPr>
      </w:pPr>
      <w:r>
        <w:rPr>
          <w:rFonts w:asciiTheme="minorHAnsi" w:hAnsiTheme="minorHAnsi" w:cstheme="minorHAnsi"/>
          <w:sz w:val="22"/>
          <w:szCs w:val="22"/>
        </w:rPr>
        <w:t xml:space="preserve">Uitzendkrachten die langer dan 6 maanden werkzaam zijn voor Loparex </w:t>
      </w:r>
      <w:r w:rsidR="00991ADF">
        <w:rPr>
          <w:rFonts w:asciiTheme="minorHAnsi" w:hAnsiTheme="minorHAnsi" w:cstheme="minorHAnsi"/>
          <w:sz w:val="22"/>
          <w:szCs w:val="22"/>
        </w:rPr>
        <w:t>komen ook in aanmerking voor de RAB.</w:t>
      </w:r>
    </w:p>
    <w:p w14:paraId="2D123DD1" w14:textId="77777777" w:rsidR="000322F5" w:rsidRDefault="000322F5" w:rsidP="006B232A">
      <w:pPr>
        <w:rPr>
          <w:rFonts w:asciiTheme="minorHAnsi" w:hAnsiTheme="minorHAnsi" w:cstheme="minorHAnsi"/>
          <w:b/>
          <w:color w:val="0070C0"/>
          <w:lang w:eastAsia="ar-SA"/>
        </w:rPr>
      </w:pPr>
    </w:p>
    <w:p w14:paraId="76E80F45" w14:textId="358AE8D0" w:rsidR="006B232A" w:rsidRDefault="006B232A" w:rsidP="006B232A">
      <w:pPr>
        <w:rPr>
          <w:rFonts w:asciiTheme="minorHAnsi" w:hAnsiTheme="minorHAnsi" w:cstheme="minorHAnsi"/>
          <w:b/>
          <w:color w:val="0070C0"/>
          <w:lang w:eastAsia="ar-SA"/>
        </w:rPr>
      </w:pPr>
      <w:r w:rsidRPr="00B45C2B">
        <w:rPr>
          <w:rFonts w:asciiTheme="minorHAnsi" w:hAnsiTheme="minorHAnsi" w:cstheme="minorHAnsi"/>
          <w:b/>
          <w:color w:val="0070C0"/>
          <w:lang w:eastAsia="ar-SA"/>
        </w:rPr>
        <w:t>17.1. Vrije diensten voor oudere werknemers</w:t>
      </w:r>
      <w:r>
        <w:rPr>
          <w:rFonts w:asciiTheme="minorHAnsi" w:hAnsiTheme="minorHAnsi" w:cstheme="minorHAnsi"/>
          <w:b/>
          <w:color w:val="0070C0"/>
          <w:lang w:eastAsia="ar-SA"/>
        </w:rPr>
        <w:t xml:space="preserve"> (de zgn. koopdagen)</w:t>
      </w:r>
    </w:p>
    <w:p w14:paraId="3F9EC267" w14:textId="07389B3A" w:rsidR="006B232A" w:rsidRDefault="006B232A" w:rsidP="006B232A">
      <w:pPr>
        <w:rPr>
          <w:rFonts w:asciiTheme="minorHAnsi" w:hAnsiTheme="minorHAnsi" w:cstheme="minorHAnsi"/>
        </w:rPr>
      </w:pPr>
      <w:r>
        <w:rPr>
          <w:rFonts w:asciiTheme="minorHAnsi" w:hAnsiTheme="minorHAnsi" w:cstheme="minorHAnsi"/>
        </w:rPr>
        <w:t xml:space="preserve">Per 1 januari 2021 zal deze regeling worden open gesteld voor alle medewerkers. Cao-partijen zijn wel een aantal aanpassingen </w:t>
      </w:r>
      <w:r w:rsidR="00CC62C2">
        <w:rPr>
          <w:rFonts w:asciiTheme="minorHAnsi" w:hAnsiTheme="minorHAnsi" w:cstheme="minorHAnsi"/>
        </w:rPr>
        <w:t>t.o.v.</w:t>
      </w:r>
      <w:r>
        <w:rPr>
          <w:rFonts w:asciiTheme="minorHAnsi" w:hAnsiTheme="minorHAnsi" w:cstheme="minorHAnsi"/>
        </w:rPr>
        <w:t xml:space="preserve"> de huidige regeling overeengekomen.</w:t>
      </w:r>
    </w:p>
    <w:p w14:paraId="4894B878" w14:textId="77777777" w:rsidR="006B232A" w:rsidRDefault="006B232A" w:rsidP="006B232A">
      <w:pPr>
        <w:rPr>
          <w:rFonts w:asciiTheme="minorHAnsi" w:hAnsiTheme="minorHAnsi" w:cstheme="minorHAnsi"/>
        </w:rPr>
      </w:pPr>
    </w:p>
    <w:p w14:paraId="65FB547C" w14:textId="77777777" w:rsidR="000322F5" w:rsidRDefault="000322F5">
      <w:pPr>
        <w:spacing w:after="160" w:line="259" w:lineRule="auto"/>
        <w:rPr>
          <w:rFonts w:asciiTheme="minorHAnsi" w:hAnsiTheme="minorHAnsi" w:cstheme="minorHAnsi"/>
        </w:rPr>
      </w:pPr>
      <w:r>
        <w:rPr>
          <w:rFonts w:asciiTheme="minorHAnsi" w:hAnsiTheme="minorHAnsi" w:cstheme="minorHAnsi"/>
        </w:rPr>
        <w:br w:type="page"/>
      </w:r>
    </w:p>
    <w:p w14:paraId="0C759F46" w14:textId="2FDA54FE" w:rsidR="006B232A" w:rsidRPr="005D12B8" w:rsidRDefault="006B232A" w:rsidP="006B232A">
      <w:pPr>
        <w:rPr>
          <w:rFonts w:asciiTheme="minorHAnsi" w:hAnsiTheme="minorHAnsi" w:cstheme="minorHAnsi"/>
        </w:rPr>
      </w:pPr>
      <w:r>
        <w:rPr>
          <w:rFonts w:asciiTheme="minorHAnsi" w:hAnsiTheme="minorHAnsi" w:cstheme="minorHAnsi"/>
        </w:rPr>
        <w:lastRenderedPageBreak/>
        <w:t>D</w:t>
      </w:r>
      <w:r w:rsidRPr="005D12B8">
        <w:rPr>
          <w:rFonts w:asciiTheme="minorHAnsi" w:hAnsiTheme="minorHAnsi" w:cstheme="minorHAnsi"/>
        </w:rPr>
        <w:t xml:space="preserve">e huidige </w:t>
      </w:r>
      <w:r>
        <w:rPr>
          <w:rFonts w:asciiTheme="minorHAnsi" w:hAnsiTheme="minorHAnsi" w:cstheme="minorHAnsi"/>
        </w:rPr>
        <w:t xml:space="preserve">regeling ziet </w:t>
      </w:r>
      <w:r w:rsidRPr="005D12B8">
        <w:rPr>
          <w:rFonts w:asciiTheme="minorHAnsi" w:hAnsiTheme="minorHAnsi" w:cstheme="minorHAnsi"/>
        </w:rPr>
        <w:t>er als volgt uit:</w:t>
      </w:r>
    </w:p>
    <w:p w14:paraId="176C0571" w14:textId="77777777" w:rsidR="006B232A" w:rsidRPr="005D12B8" w:rsidRDefault="006B232A" w:rsidP="006B232A">
      <w:pPr>
        <w:rPr>
          <w:rFonts w:asciiTheme="minorHAnsi" w:hAnsiTheme="minorHAnsi" w:cstheme="minorHAnsi"/>
        </w:rPr>
      </w:pPr>
    </w:p>
    <w:tbl>
      <w:tblPr>
        <w:tblStyle w:val="Tabelraster"/>
        <w:tblW w:w="0" w:type="auto"/>
        <w:tblLook w:val="04A0" w:firstRow="1" w:lastRow="0" w:firstColumn="1" w:lastColumn="0" w:noHBand="0" w:noVBand="1"/>
      </w:tblPr>
      <w:tblGrid>
        <w:gridCol w:w="3017"/>
        <w:gridCol w:w="3019"/>
      </w:tblGrid>
      <w:tr w:rsidR="006B232A" w:rsidRPr="005D12B8" w14:paraId="0DCF8E95" w14:textId="77777777" w:rsidTr="00003552">
        <w:tc>
          <w:tcPr>
            <w:tcW w:w="3017" w:type="dxa"/>
          </w:tcPr>
          <w:p w14:paraId="26197EB1"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Leeftijd</w:t>
            </w:r>
          </w:p>
        </w:tc>
        <w:tc>
          <w:tcPr>
            <w:tcW w:w="3019" w:type="dxa"/>
            <w:shd w:val="clear" w:color="auto" w:fill="D9D9D9" w:themeFill="background1" w:themeFillShade="D9"/>
          </w:tcPr>
          <w:p w14:paraId="3B1E2072" w14:textId="4884796C" w:rsidR="006B232A" w:rsidRPr="005D12B8" w:rsidRDefault="006B232A" w:rsidP="00003552">
            <w:pPr>
              <w:jc w:val="center"/>
              <w:rPr>
                <w:rFonts w:asciiTheme="minorHAnsi" w:hAnsiTheme="minorHAnsi" w:cstheme="minorHAnsi"/>
              </w:rPr>
            </w:pPr>
            <w:r>
              <w:rPr>
                <w:rFonts w:asciiTheme="minorHAnsi" w:hAnsiTheme="minorHAnsi" w:cstheme="minorHAnsi"/>
              </w:rPr>
              <w:t>Aantal uren per kwartaal</w:t>
            </w:r>
          </w:p>
        </w:tc>
      </w:tr>
      <w:tr w:rsidR="006B232A" w:rsidRPr="005D12B8" w14:paraId="4409FE0B" w14:textId="77777777" w:rsidTr="00003552">
        <w:tc>
          <w:tcPr>
            <w:tcW w:w="3017" w:type="dxa"/>
          </w:tcPr>
          <w:p w14:paraId="6E9DA372"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58</w:t>
            </w:r>
          </w:p>
        </w:tc>
        <w:tc>
          <w:tcPr>
            <w:tcW w:w="3019" w:type="dxa"/>
            <w:shd w:val="clear" w:color="auto" w:fill="D9D9D9" w:themeFill="background1" w:themeFillShade="D9"/>
          </w:tcPr>
          <w:p w14:paraId="30944AE5"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8</w:t>
            </w:r>
          </w:p>
        </w:tc>
      </w:tr>
      <w:tr w:rsidR="006B232A" w:rsidRPr="005D12B8" w14:paraId="0E871435" w14:textId="77777777" w:rsidTr="00003552">
        <w:tc>
          <w:tcPr>
            <w:tcW w:w="3017" w:type="dxa"/>
          </w:tcPr>
          <w:p w14:paraId="4E63D771"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59</w:t>
            </w:r>
          </w:p>
        </w:tc>
        <w:tc>
          <w:tcPr>
            <w:tcW w:w="3019" w:type="dxa"/>
            <w:shd w:val="clear" w:color="auto" w:fill="D9D9D9" w:themeFill="background1" w:themeFillShade="D9"/>
          </w:tcPr>
          <w:p w14:paraId="674CF605"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16</w:t>
            </w:r>
          </w:p>
        </w:tc>
      </w:tr>
      <w:tr w:rsidR="006B232A" w:rsidRPr="005D12B8" w14:paraId="7856AF48" w14:textId="77777777" w:rsidTr="00003552">
        <w:tc>
          <w:tcPr>
            <w:tcW w:w="3017" w:type="dxa"/>
          </w:tcPr>
          <w:p w14:paraId="6F1EE86D"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60</w:t>
            </w:r>
          </w:p>
        </w:tc>
        <w:tc>
          <w:tcPr>
            <w:tcW w:w="3019" w:type="dxa"/>
            <w:shd w:val="clear" w:color="auto" w:fill="D9D9D9" w:themeFill="background1" w:themeFillShade="D9"/>
          </w:tcPr>
          <w:p w14:paraId="0FC7A020"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20</w:t>
            </w:r>
          </w:p>
        </w:tc>
      </w:tr>
      <w:tr w:rsidR="006B232A" w:rsidRPr="005D12B8" w14:paraId="7F0212A5" w14:textId="77777777" w:rsidTr="00003552">
        <w:tc>
          <w:tcPr>
            <w:tcW w:w="3017" w:type="dxa"/>
          </w:tcPr>
          <w:p w14:paraId="308F5E2F"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61</w:t>
            </w:r>
          </w:p>
        </w:tc>
        <w:tc>
          <w:tcPr>
            <w:tcW w:w="3019" w:type="dxa"/>
            <w:shd w:val="clear" w:color="auto" w:fill="D9D9D9" w:themeFill="background1" w:themeFillShade="D9"/>
          </w:tcPr>
          <w:p w14:paraId="071D02D3"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20</w:t>
            </w:r>
          </w:p>
        </w:tc>
      </w:tr>
      <w:tr w:rsidR="006B232A" w:rsidRPr="005D12B8" w14:paraId="14D661C2" w14:textId="77777777" w:rsidTr="00003552">
        <w:tc>
          <w:tcPr>
            <w:tcW w:w="3017" w:type="dxa"/>
          </w:tcPr>
          <w:p w14:paraId="0D92346A"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62</w:t>
            </w:r>
          </w:p>
        </w:tc>
        <w:tc>
          <w:tcPr>
            <w:tcW w:w="3019" w:type="dxa"/>
            <w:shd w:val="clear" w:color="auto" w:fill="D9D9D9" w:themeFill="background1" w:themeFillShade="D9"/>
          </w:tcPr>
          <w:p w14:paraId="3CF16C59"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20</w:t>
            </w:r>
          </w:p>
        </w:tc>
      </w:tr>
      <w:tr w:rsidR="006B232A" w:rsidRPr="005D12B8" w14:paraId="30B42C6D" w14:textId="77777777" w:rsidTr="00003552">
        <w:tc>
          <w:tcPr>
            <w:tcW w:w="3017" w:type="dxa"/>
          </w:tcPr>
          <w:p w14:paraId="7F7117A1"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63</w:t>
            </w:r>
          </w:p>
        </w:tc>
        <w:tc>
          <w:tcPr>
            <w:tcW w:w="3019" w:type="dxa"/>
            <w:shd w:val="clear" w:color="auto" w:fill="D9D9D9" w:themeFill="background1" w:themeFillShade="D9"/>
          </w:tcPr>
          <w:p w14:paraId="30A4789F"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20</w:t>
            </w:r>
          </w:p>
        </w:tc>
      </w:tr>
      <w:tr w:rsidR="006B232A" w:rsidRPr="005D12B8" w14:paraId="61D7A37A" w14:textId="77777777" w:rsidTr="00003552">
        <w:tc>
          <w:tcPr>
            <w:tcW w:w="3017" w:type="dxa"/>
          </w:tcPr>
          <w:p w14:paraId="0B192213"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64</w:t>
            </w:r>
          </w:p>
        </w:tc>
        <w:tc>
          <w:tcPr>
            <w:tcW w:w="3019" w:type="dxa"/>
            <w:shd w:val="clear" w:color="auto" w:fill="D9D9D9" w:themeFill="background1" w:themeFillShade="D9"/>
          </w:tcPr>
          <w:p w14:paraId="5E3CE986"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20</w:t>
            </w:r>
          </w:p>
        </w:tc>
      </w:tr>
      <w:tr w:rsidR="006B232A" w:rsidRPr="005D12B8" w14:paraId="3BC0C063" w14:textId="77777777" w:rsidTr="00003552">
        <w:tc>
          <w:tcPr>
            <w:tcW w:w="3017" w:type="dxa"/>
          </w:tcPr>
          <w:p w14:paraId="28A76B72"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65</w:t>
            </w:r>
          </w:p>
        </w:tc>
        <w:tc>
          <w:tcPr>
            <w:tcW w:w="3019" w:type="dxa"/>
            <w:shd w:val="clear" w:color="auto" w:fill="D9D9D9" w:themeFill="background1" w:themeFillShade="D9"/>
          </w:tcPr>
          <w:p w14:paraId="39D1AC03"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w:t>
            </w:r>
          </w:p>
        </w:tc>
      </w:tr>
      <w:tr w:rsidR="006B232A" w:rsidRPr="005D12B8" w14:paraId="6A196135" w14:textId="77777777" w:rsidTr="00003552">
        <w:tc>
          <w:tcPr>
            <w:tcW w:w="3017" w:type="dxa"/>
          </w:tcPr>
          <w:p w14:paraId="6CA172E0"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66</w:t>
            </w:r>
          </w:p>
        </w:tc>
        <w:tc>
          <w:tcPr>
            <w:tcW w:w="3019" w:type="dxa"/>
            <w:shd w:val="clear" w:color="auto" w:fill="D9D9D9" w:themeFill="background1" w:themeFillShade="D9"/>
          </w:tcPr>
          <w:p w14:paraId="08C0DE36"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w:t>
            </w:r>
          </w:p>
        </w:tc>
      </w:tr>
    </w:tbl>
    <w:p w14:paraId="6AB312CE" w14:textId="77777777" w:rsidR="006B232A" w:rsidRPr="005D12B8" w:rsidRDefault="006B232A" w:rsidP="006B232A">
      <w:pPr>
        <w:rPr>
          <w:rFonts w:asciiTheme="minorHAnsi" w:hAnsiTheme="minorHAnsi" w:cstheme="minorHAnsi"/>
        </w:rPr>
      </w:pPr>
    </w:p>
    <w:p w14:paraId="72E55FE5" w14:textId="4B773FE4" w:rsidR="006B232A" w:rsidRPr="005D12B8" w:rsidRDefault="006B232A" w:rsidP="006B232A">
      <w:pPr>
        <w:rPr>
          <w:rFonts w:asciiTheme="minorHAnsi" w:hAnsiTheme="minorHAnsi" w:cstheme="minorHAnsi"/>
        </w:rPr>
      </w:pPr>
      <w:r w:rsidRPr="005D12B8">
        <w:rPr>
          <w:rFonts w:asciiTheme="minorHAnsi" w:hAnsiTheme="minorHAnsi" w:cstheme="minorHAnsi"/>
        </w:rPr>
        <w:t xml:space="preserve">Per 1 januari 2021 </w:t>
      </w:r>
      <w:r>
        <w:rPr>
          <w:rFonts w:asciiTheme="minorHAnsi" w:hAnsiTheme="minorHAnsi" w:cstheme="minorHAnsi"/>
        </w:rPr>
        <w:t>geldt een nieuwe regeling, zie onderstaande tabel</w:t>
      </w:r>
    </w:p>
    <w:p w14:paraId="649CC615" w14:textId="77777777" w:rsidR="006B232A" w:rsidRPr="005D12B8" w:rsidRDefault="006B232A" w:rsidP="006B232A">
      <w:pPr>
        <w:rPr>
          <w:rFonts w:asciiTheme="minorHAnsi" w:hAnsiTheme="minorHAnsi" w:cstheme="minorHAnsi"/>
        </w:rPr>
      </w:pPr>
    </w:p>
    <w:tbl>
      <w:tblPr>
        <w:tblStyle w:val="Tabelraster"/>
        <w:tblW w:w="0" w:type="auto"/>
        <w:tblLook w:val="04A0" w:firstRow="1" w:lastRow="0" w:firstColumn="1" w:lastColumn="0" w:noHBand="0" w:noVBand="1"/>
      </w:tblPr>
      <w:tblGrid>
        <w:gridCol w:w="3017"/>
        <w:gridCol w:w="3026"/>
      </w:tblGrid>
      <w:tr w:rsidR="006B232A" w:rsidRPr="005D12B8" w14:paraId="287B72FF" w14:textId="77777777" w:rsidTr="00003552">
        <w:tc>
          <w:tcPr>
            <w:tcW w:w="3017" w:type="dxa"/>
          </w:tcPr>
          <w:p w14:paraId="6D67F110" w14:textId="77777777" w:rsidR="006B232A" w:rsidRPr="005D12B8" w:rsidRDefault="006B232A" w:rsidP="00003552">
            <w:pPr>
              <w:jc w:val="center"/>
              <w:rPr>
                <w:rFonts w:ascii="Segoe UI" w:hAnsi="Segoe UI" w:cs="Segoe UI"/>
              </w:rPr>
            </w:pPr>
            <w:r w:rsidRPr="005D12B8">
              <w:rPr>
                <w:rFonts w:ascii="Segoe UI" w:hAnsi="Segoe UI" w:cs="Segoe UI"/>
              </w:rPr>
              <w:t>Leeftijd</w:t>
            </w:r>
          </w:p>
        </w:tc>
        <w:tc>
          <w:tcPr>
            <w:tcW w:w="3026" w:type="dxa"/>
            <w:shd w:val="clear" w:color="auto" w:fill="FFFF00"/>
          </w:tcPr>
          <w:p w14:paraId="4797E00F" w14:textId="1E052B1C" w:rsidR="006B232A" w:rsidRPr="005D12B8" w:rsidRDefault="006B232A" w:rsidP="00003552">
            <w:pPr>
              <w:jc w:val="center"/>
              <w:rPr>
                <w:rFonts w:asciiTheme="minorHAnsi" w:hAnsiTheme="minorHAnsi" w:cstheme="minorHAnsi"/>
              </w:rPr>
            </w:pPr>
            <w:r>
              <w:rPr>
                <w:rFonts w:asciiTheme="minorHAnsi" w:hAnsiTheme="minorHAnsi" w:cstheme="minorHAnsi"/>
              </w:rPr>
              <w:t>Aantal uren per kwartaal</w:t>
            </w:r>
          </w:p>
        </w:tc>
      </w:tr>
      <w:tr w:rsidR="006B232A" w:rsidRPr="005D12B8" w14:paraId="724C1903" w14:textId="77777777" w:rsidTr="00003552">
        <w:tc>
          <w:tcPr>
            <w:tcW w:w="3017" w:type="dxa"/>
          </w:tcPr>
          <w:p w14:paraId="22F7686C" w14:textId="77777777" w:rsidR="006B232A" w:rsidRPr="005D12B8" w:rsidRDefault="006B232A" w:rsidP="00003552">
            <w:pPr>
              <w:jc w:val="center"/>
              <w:rPr>
                <w:rFonts w:ascii="Segoe UI" w:hAnsi="Segoe UI" w:cs="Segoe UI"/>
              </w:rPr>
            </w:pPr>
            <w:r w:rsidRPr="005D12B8">
              <w:rPr>
                <w:rFonts w:ascii="Segoe UI" w:hAnsi="Segoe UI" w:cs="Segoe UI"/>
              </w:rPr>
              <w:t>58</w:t>
            </w:r>
          </w:p>
        </w:tc>
        <w:tc>
          <w:tcPr>
            <w:tcW w:w="3026" w:type="dxa"/>
            <w:shd w:val="clear" w:color="auto" w:fill="FFFF00"/>
          </w:tcPr>
          <w:p w14:paraId="086DAB2A"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w:t>
            </w:r>
          </w:p>
        </w:tc>
      </w:tr>
      <w:tr w:rsidR="006B232A" w:rsidRPr="005D12B8" w14:paraId="0B13D372" w14:textId="77777777" w:rsidTr="00003552">
        <w:tc>
          <w:tcPr>
            <w:tcW w:w="3017" w:type="dxa"/>
          </w:tcPr>
          <w:p w14:paraId="6C686F1D" w14:textId="77777777" w:rsidR="006B232A" w:rsidRPr="005D12B8" w:rsidRDefault="006B232A" w:rsidP="00003552">
            <w:pPr>
              <w:jc w:val="center"/>
              <w:rPr>
                <w:rFonts w:ascii="Segoe UI" w:hAnsi="Segoe UI" w:cs="Segoe UI"/>
              </w:rPr>
            </w:pPr>
            <w:r w:rsidRPr="005D12B8">
              <w:rPr>
                <w:rFonts w:ascii="Segoe UI" w:hAnsi="Segoe UI" w:cs="Segoe UI"/>
              </w:rPr>
              <w:t>59</w:t>
            </w:r>
          </w:p>
        </w:tc>
        <w:tc>
          <w:tcPr>
            <w:tcW w:w="3026" w:type="dxa"/>
            <w:shd w:val="clear" w:color="auto" w:fill="FFFF00"/>
          </w:tcPr>
          <w:p w14:paraId="7D7BA271"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w:t>
            </w:r>
          </w:p>
        </w:tc>
      </w:tr>
      <w:tr w:rsidR="006B232A" w:rsidRPr="005D12B8" w14:paraId="1E2EF757" w14:textId="77777777" w:rsidTr="00003552">
        <w:tc>
          <w:tcPr>
            <w:tcW w:w="3017" w:type="dxa"/>
          </w:tcPr>
          <w:p w14:paraId="12A382C6" w14:textId="77777777" w:rsidR="006B232A" w:rsidRPr="005D12B8" w:rsidRDefault="006B232A" w:rsidP="00003552">
            <w:pPr>
              <w:jc w:val="center"/>
              <w:rPr>
                <w:rFonts w:ascii="Segoe UI" w:hAnsi="Segoe UI" w:cs="Segoe UI"/>
              </w:rPr>
            </w:pPr>
            <w:r w:rsidRPr="005D12B8">
              <w:rPr>
                <w:rFonts w:ascii="Segoe UI" w:hAnsi="Segoe UI" w:cs="Segoe UI"/>
              </w:rPr>
              <w:t>60</w:t>
            </w:r>
          </w:p>
        </w:tc>
        <w:tc>
          <w:tcPr>
            <w:tcW w:w="3026" w:type="dxa"/>
            <w:shd w:val="clear" w:color="auto" w:fill="FFFF00"/>
          </w:tcPr>
          <w:p w14:paraId="25DCAEE9"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8</w:t>
            </w:r>
          </w:p>
        </w:tc>
      </w:tr>
      <w:tr w:rsidR="006B232A" w:rsidRPr="005D12B8" w14:paraId="5A77D781" w14:textId="77777777" w:rsidTr="00003552">
        <w:tc>
          <w:tcPr>
            <w:tcW w:w="3017" w:type="dxa"/>
          </w:tcPr>
          <w:p w14:paraId="0AD37E27" w14:textId="77777777" w:rsidR="006B232A" w:rsidRPr="005D12B8" w:rsidRDefault="006B232A" w:rsidP="00003552">
            <w:pPr>
              <w:jc w:val="center"/>
              <w:rPr>
                <w:rFonts w:ascii="Segoe UI" w:hAnsi="Segoe UI" w:cs="Segoe UI"/>
              </w:rPr>
            </w:pPr>
            <w:r w:rsidRPr="005D12B8">
              <w:rPr>
                <w:rFonts w:ascii="Segoe UI" w:hAnsi="Segoe UI" w:cs="Segoe UI"/>
              </w:rPr>
              <w:t>61</w:t>
            </w:r>
          </w:p>
        </w:tc>
        <w:tc>
          <w:tcPr>
            <w:tcW w:w="3026" w:type="dxa"/>
            <w:shd w:val="clear" w:color="auto" w:fill="FFFF00"/>
          </w:tcPr>
          <w:p w14:paraId="6E9B64D3"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8</w:t>
            </w:r>
          </w:p>
        </w:tc>
      </w:tr>
      <w:tr w:rsidR="006B232A" w:rsidRPr="005D12B8" w14:paraId="677F8BA6" w14:textId="77777777" w:rsidTr="00003552">
        <w:tc>
          <w:tcPr>
            <w:tcW w:w="3017" w:type="dxa"/>
          </w:tcPr>
          <w:p w14:paraId="42935C96" w14:textId="77777777" w:rsidR="006B232A" w:rsidRPr="005D12B8" w:rsidRDefault="006B232A" w:rsidP="00003552">
            <w:pPr>
              <w:jc w:val="center"/>
              <w:rPr>
                <w:rFonts w:ascii="Segoe UI" w:hAnsi="Segoe UI" w:cs="Segoe UI"/>
              </w:rPr>
            </w:pPr>
            <w:r w:rsidRPr="005D12B8">
              <w:rPr>
                <w:rFonts w:ascii="Segoe UI" w:hAnsi="Segoe UI" w:cs="Segoe UI"/>
              </w:rPr>
              <w:t>62</w:t>
            </w:r>
          </w:p>
        </w:tc>
        <w:tc>
          <w:tcPr>
            <w:tcW w:w="3026" w:type="dxa"/>
            <w:shd w:val="clear" w:color="auto" w:fill="FFFF00"/>
          </w:tcPr>
          <w:p w14:paraId="2A53AF79"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12</w:t>
            </w:r>
          </w:p>
        </w:tc>
      </w:tr>
      <w:tr w:rsidR="006B232A" w:rsidRPr="005D12B8" w14:paraId="3AD93D12" w14:textId="77777777" w:rsidTr="00003552">
        <w:tc>
          <w:tcPr>
            <w:tcW w:w="3017" w:type="dxa"/>
          </w:tcPr>
          <w:p w14:paraId="231D3F37" w14:textId="77777777" w:rsidR="006B232A" w:rsidRPr="005D12B8" w:rsidRDefault="006B232A" w:rsidP="00003552">
            <w:pPr>
              <w:jc w:val="center"/>
              <w:rPr>
                <w:rFonts w:ascii="Segoe UI" w:hAnsi="Segoe UI" w:cs="Segoe UI"/>
              </w:rPr>
            </w:pPr>
            <w:r w:rsidRPr="005D12B8">
              <w:rPr>
                <w:rFonts w:ascii="Segoe UI" w:hAnsi="Segoe UI" w:cs="Segoe UI"/>
              </w:rPr>
              <w:t>63</w:t>
            </w:r>
          </w:p>
        </w:tc>
        <w:tc>
          <w:tcPr>
            <w:tcW w:w="3026" w:type="dxa"/>
            <w:shd w:val="clear" w:color="auto" w:fill="FFFF00"/>
          </w:tcPr>
          <w:p w14:paraId="340EE7A4"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12</w:t>
            </w:r>
          </w:p>
        </w:tc>
      </w:tr>
      <w:tr w:rsidR="006B232A" w:rsidRPr="005D12B8" w14:paraId="79E233AD" w14:textId="77777777" w:rsidTr="00003552">
        <w:tc>
          <w:tcPr>
            <w:tcW w:w="3017" w:type="dxa"/>
          </w:tcPr>
          <w:p w14:paraId="3B08A1BF" w14:textId="77777777" w:rsidR="006B232A" w:rsidRPr="005D12B8" w:rsidRDefault="006B232A" w:rsidP="00003552">
            <w:pPr>
              <w:jc w:val="center"/>
              <w:rPr>
                <w:rFonts w:ascii="Segoe UI" w:hAnsi="Segoe UI" w:cs="Segoe UI"/>
              </w:rPr>
            </w:pPr>
            <w:r w:rsidRPr="005D12B8">
              <w:rPr>
                <w:rFonts w:ascii="Segoe UI" w:hAnsi="Segoe UI" w:cs="Segoe UI"/>
              </w:rPr>
              <w:t>64</w:t>
            </w:r>
          </w:p>
        </w:tc>
        <w:tc>
          <w:tcPr>
            <w:tcW w:w="3026" w:type="dxa"/>
            <w:shd w:val="clear" w:color="auto" w:fill="FFFF00"/>
          </w:tcPr>
          <w:p w14:paraId="5531FDCB"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16</w:t>
            </w:r>
          </w:p>
        </w:tc>
      </w:tr>
      <w:tr w:rsidR="006B232A" w:rsidRPr="005D12B8" w14:paraId="39EA6223" w14:textId="77777777" w:rsidTr="00003552">
        <w:tc>
          <w:tcPr>
            <w:tcW w:w="3017" w:type="dxa"/>
          </w:tcPr>
          <w:p w14:paraId="75E5795E" w14:textId="77777777" w:rsidR="006B232A" w:rsidRPr="005D12B8" w:rsidRDefault="006B232A" w:rsidP="00003552">
            <w:pPr>
              <w:jc w:val="center"/>
              <w:rPr>
                <w:rFonts w:ascii="Segoe UI" w:hAnsi="Segoe UI" w:cs="Segoe UI"/>
              </w:rPr>
            </w:pPr>
            <w:r w:rsidRPr="005D12B8">
              <w:rPr>
                <w:rFonts w:ascii="Segoe UI" w:hAnsi="Segoe UI" w:cs="Segoe UI"/>
              </w:rPr>
              <w:t>65</w:t>
            </w:r>
          </w:p>
        </w:tc>
        <w:tc>
          <w:tcPr>
            <w:tcW w:w="3026" w:type="dxa"/>
            <w:shd w:val="clear" w:color="auto" w:fill="FFFF00"/>
          </w:tcPr>
          <w:p w14:paraId="7F6DFF5C"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16</w:t>
            </w:r>
          </w:p>
        </w:tc>
      </w:tr>
      <w:tr w:rsidR="006B232A" w:rsidRPr="005D12B8" w14:paraId="4508E861" w14:textId="77777777" w:rsidTr="00003552">
        <w:tc>
          <w:tcPr>
            <w:tcW w:w="3017" w:type="dxa"/>
          </w:tcPr>
          <w:p w14:paraId="6FC399FA" w14:textId="77777777" w:rsidR="006B232A" w:rsidRPr="005D12B8" w:rsidRDefault="006B232A" w:rsidP="00003552">
            <w:pPr>
              <w:jc w:val="center"/>
              <w:rPr>
                <w:rFonts w:ascii="Segoe UI" w:hAnsi="Segoe UI" w:cs="Segoe UI"/>
              </w:rPr>
            </w:pPr>
            <w:r w:rsidRPr="005D12B8">
              <w:rPr>
                <w:rFonts w:ascii="Segoe UI" w:hAnsi="Segoe UI" w:cs="Segoe UI"/>
              </w:rPr>
              <w:t>66</w:t>
            </w:r>
          </w:p>
        </w:tc>
        <w:tc>
          <w:tcPr>
            <w:tcW w:w="3026" w:type="dxa"/>
            <w:shd w:val="clear" w:color="auto" w:fill="FFFF00"/>
          </w:tcPr>
          <w:p w14:paraId="3DF6EDAD" w14:textId="77777777" w:rsidR="006B232A" w:rsidRPr="005D12B8" w:rsidRDefault="006B232A" w:rsidP="00003552">
            <w:pPr>
              <w:jc w:val="center"/>
              <w:rPr>
                <w:rFonts w:asciiTheme="minorHAnsi" w:hAnsiTheme="minorHAnsi" w:cstheme="minorHAnsi"/>
              </w:rPr>
            </w:pPr>
            <w:r w:rsidRPr="005D12B8">
              <w:rPr>
                <w:rFonts w:asciiTheme="minorHAnsi" w:hAnsiTheme="minorHAnsi" w:cstheme="minorHAnsi"/>
              </w:rPr>
              <w:t>16</w:t>
            </w:r>
          </w:p>
        </w:tc>
      </w:tr>
    </w:tbl>
    <w:p w14:paraId="01C7A59D" w14:textId="77777777" w:rsidR="006B232A" w:rsidRPr="005D12B8" w:rsidRDefault="006B232A" w:rsidP="006B232A">
      <w:pPr>
        <w:rPr>
          <w:rFonts w:asciiTheme="minorHAnsi" w:hAnsiTheme="minorHAnsi" w:cstheme="minorHAnsi"/>
        </w:rPr>
      </w:pPr>
    </w:p>
    <w:p w14:paraId="63291960" w14:textId="67DF8E8C" w:rsidR="006B232A" w:rsidRDefault="006B232A" w:rsidP="006B232A">
      <w:pPr>
        <w:rPr>
          <w:rFonts w:asciiTheme="minorHAnsi" w:hAnsiTheme="minorHAnsi" w:cstheme="minorHAnsi"/>
        </w:rPr>
      </w:pPr>
      <w:r>
        <w:rPr>
          <w:rFonts w:asciiTheme="minorHAnsi" w:hAnsiTheme="minorHAnsi" w:cstheme="minorHAnsi"/>
        </w:rPr>
        <w:t>Hierbij gelden de volgende afspraken:</w:t>
      </w:r>
    </w:p>
    <w:p w14:paraId="3ABF7190" w14:textId="271CBD0C" w:rsidR="006B232A" w:rsidRPr="00431868" w:rsidRDefault="006B232A" w:rsidP="006B232A">
      <w:pPr>
        <w:pStyle w:val="Lijstalinea"/>
        <w:numPr>
          <w:ilvl w:val="0"/>
          <w:numId w:val="17"/>
        </w:numPr>
        <w:rPr>
          <w:rFonts w:asciiTheme="minorHAnsi" w:hAnsiTheme="minorHAnsi" w:cstheme="minorHAnsi"/>
        </w:rPr>
      </w:pPr>
      <w:r w:rsidRPr="00431868">
        <w:rPr>
          <w:rFonts w:asciiTheme="minorHAnsi" w:hAnsiTheme="minorHAnsi" w:cstheme="minorHAnsi"/>
        </w:rPr>
        <w:t>Medewerkers die per 1 januari 2021 tussen de 58 en 64 zijn</w:t>
      </w:r>
      <w:r>
        <w:rPr>
          <w:rFonts w:asciiTheme="minorHAnsi" w:hAnsiTheme="minorHAnsi" w:cstheme="minorHAnsi"/>
        </w:rPr>
        <w:t xml:space="preserve"> </w:t>
      </w:r>
      <w:r w:rsidRPr="009D6F91">
        <w:rPr>
          <w:rFonts w:asciiTheme="minorHAnsi" w:hAnsiTheme="minorHAnsi" w:cstheme="minorHAnsi"/>
          <w:b/>
          <w:bCs/>
        </w:rPr>
        <w:t>en</w:t>
      </w:r>
      <w:r>
        <w:rPr>
          <w:rFonts w:asciiTheme="minorHAnsi" w:hAnsiTheme="minorHAnsi" w:cstheme="minorHAnsi"/>
        </w:rPr>
        <w:t xml:space="preserve"> gebruik maken van de huidige regeling,</w:t>
      </w:r>
      <w:r w:rsidRPr="00431868">
        <w:rPr>
          <w:rFonts w:asciiTheme="minorHAnsi" w:hAnsiTheme="minorHAnsi" w:cstheme="minorHAnsi"/>
        </w:rPr>
        <w:t xml:space="preserve"> mogen</w:t>
      </w:r>
      <w:r>
        <w:rPr>
          <w:rFonts w:asciiTheme="minorHAnsi" w:hAnsiTheme="minorHAnsi" w:cstheme="minorHAnsi"/>
        </w:rPr>
        <w:t xml:space="preserve"> eenmalig</w:t>
      </w:r>
      <w:r w:rsidRPr="00431868">
        <w:rPr>
          <w:rFonts w:asciiTheme="minorHAnsi" w:hAnsiTheme="minorHAnsi" w:cstheme="minorHAnsi"/>
        </w:rPr>
        <w:t xml:space="preserve"> kiezen </w:t>
      </w:r>
      <w:r>
        <w:rPr>
          <w:rFonts w:asciiTheme="minorHAnsi" w:hAnsiTheme="minorHAnsi" w:cstheme="minorHAnsi"/>
        </w:rPr>
        <w:t>onder</w:t>
      </w:r>
      <w:r w:rsidRPr="00431868">
        <w:rPr>
          <w:rFonts w:asciiTheme="minorHAnsi" w:hAnsiTheme="minorHAnsi" w:cstheme="minorHAnsi"/>
        </w:rPr>
        <w:t xml:space="preserve"> welke regeling zij willen vallen. </w:t>
      </w:r>
      <w:r>
        <w:rPr>
          <w:rFonts w:asciiTheme="minorHAnsi" w:hAnsiTheme="minorHAnsi" w:cstheme="minorHAnsi"/>
        </w:rPr>
        <w:t xml:space="preserve">Dit is een zogeheten overgangsregeling. </w:t>
      </w:r>
      <w:r w:rsidRPr="00431868">
        <w:rPr>
          <w:rFonts w:asciiTheme="minorHAnsi" w:hAnsiTheme="minorHAnsi" w:cstheme="minorHAnsi"/>
        </w:rPr>
        <w:t xml:space="preserve">Zij kunnen deze keuze maken vóór 31 januari 2021 en daarna is de keuze onherroepelijk. De afspraak in de cao, dat vóór de 55ste verjaardag de medewerker eenmalig kan kiezen of hij of zij gebruik wenst te maken van deze regeling komt </w:t>
      </w:r>
      <w:r>
        <w:rPr>
          <w:rFonts w:asciiTheme="minorHAnsi" w:hAnsiTheme="minorHAnsi" w:cstheme="minorHAnsi"/>
        </w:rPr>
        <w:t xml:space="preserve">hierbij </w:t>
      </w:r>
      <w:r w:rsidRPr="00431868">
        <w:rPr>
          <w:rFonts w:asciiTheme="minorHAnsi" w:hAnsiTheme="minorHAnsi" w:cstheme="minorHAnsi"/>
        </w:rPr>
        <w:t>te vervallen.</w:t>
      </w:r>
      <w:r w:rsidR="00756043">
        <w:rPr>
          <w:rFonts w:asciiTheme="minorHAnsi" w:hAnsiTheme="minorHAnsi" w:cstheme="minorHAnsi"/>
        </w:rPr>
        <w:t xml:space="preserve"> </w:t>
      </w:r>
    </w:p>
    <w:p w14:paraId="5D746B31" w14:textId="42282C35" w:rsidR="006B232A" w:rsidRPr="005D12B8" w:rsidRDefault="006B232A" w:rsidP="006B232A">
      <w:pPr>
        <w:pStyle w:val="Lijstalinea"/>
        <w:numPr>
          <w:ilvl w:val="0"/>
          <w:numId w:val="17"/>
        </w:numPr>
        <w:rPr>
          <w:rFonts w:asciiTheme="minorHAnsi" w:hAnsiTheme="minorHAnsi" w:cstheme="minorHAnsi"/>
        </w:rPr>
      </w:pPr>
      <w:r w:rsidRPr="005D12B8">
        <w:rPr>
          <w:rFonts w:asciiTheme="minorHAnsi" w:hAnsiTheme="minorHAnsi" w:cstheme="minorHAnsi"/>
        </w:rPr>
        <w:t>Over de uren die opgenomen worden, ontvangt de medewerker 70% van zijn/haar inkomen. Deze korting van 30% zal geen gevolgen hebben voor pensioenrechten, uitkeringen bij arbeidsongeschiktheid en berekening van vakantietoeslag en eindejaarsuitkering.</w:t>
      </w:r>
    </w:p>
    <w:p w14:paraId="56411463" w14:textId="77777777" w:rsidR="006B232A" w:rsidRDefault="006B232A" w:rsidP="006B232A">
      <w:pPr>
        <w:pStyle w:val="Lijstalinea"/>
        <w:numPr>
          <w:ilvl w:val="0"/>
          <w:numId w:val="17"/>
        </w:numPr>
        <w:rPr>
          <w:rFonts w:asciiTheme="minorHAnsi" w:hAnsiTheme="minorHAnsi" w:cstheme="minorHAnsi"/>
        </w:rPr>
      </w:pPr>
      <w:r w:rsidRPr="005D12B8">
        <w:rPr>
          <w:rFonts w:asciiTheme="minorHAnsi" w:hAnsiTheme="minorHAnsi" w:cstheme="minorHAnsi"/>
        </w:rPr>
        <w:t xml:space="preserve">De werknemer die van deze extra vrije diensten gebruik wenst te maken zal vóór de aanvang van elk kalenderkwartaal in overleg met de werkgever vaststellen op welke dagen hij deze vrije diensten opneemt. </w:t>
      </w:r>
    </w:p>
    <w:p w14:paraId="19B7EEC9" w14:textId="0717CA31" w:rsidR="006B232A" w:rsidRPr="005D12B8" w:rsidRDefault="006B232A" w:rsidP="006B232A">
      <w:pPr>
        <w:pStyle w:val="Lijstalinea"/>
        <w:numPr>
          <w:ilvl w:val="0"/>
          <w:numId w:val="17"/>
        </w:numPr>
        <w:rPr>
          <w:rFonts w:asciiTheme="minorHAnsi" w:hAnsiTheme="minorHAnsi" w:cstheme="minorHAnsi"/>
        </w:rPr>
      </w:pPr>
      <w:r>
        <w:rPr>
          <w:rFonts w:asciiTheme="minorHAnsi" w:hAnsiTheme="minorHAnsi" w:cstheme="minorHAnsi"/>
        </w:rPr>
        <w:t>Als er in enig kalenderjaar seniorenuren worden opgenomen, dan kunnen de in dat jaar gespaarde bovenwettelijke uren niet worden uitbetaald.</w:t>
      </w:r>
    </w:p>
    <w:p w14:paraId="4050602C" w14:textId="4EF6B25E" w:rsidR="006B232A" w:rsidRDefault="006B232A" w:rsidP="006B232A">
      <w:pPr>
        <w:pStyle w:val="Lijstalinea"/>
        <w:numPr>
          <w:ilvl w:val="0"/>
          <w:numId w:val="17"/>
        </w:numPr>
        <w:rPr>
          <w:rFonts w:asciiTheme="minorHAnsi" w:hAnsiTheme="minorHAnsi" w:cstheme="minorHAnsi"/>
        </w:rPr>
      </w:pPr>
      <w:r w:rsidRPr="005D12B8">
        <w:rPr>
          <w:rFonts w:asciiTheme="minorHAnsi" w:hAnsiTheme="minorHAnsi" w:cstheme="minorHAnsi"/>
        </w:rPr>
        <w:t>Verschuiving</w:t>
      </w:r>
      <w:r w:rsidR="00756043">
        <w:rPr>
          <w:rFonts w:asciiTheme="minorHAnsi" w:hAnsiTheme="minorHAnsi" w:cstheme="minorHAnsi"/>
        </w:rPr>
        <w:t xml:space="preserve"> van seniorenuren</w:t>
      </w:r>
      <w:r w:rsidRPr="005D12B8">
        <w:rPr>
          <w:rFonts w:asciiTheme="minorHAnsi" w:hAnsiTheme="minorHAnsi" w:cstheme="minorHAnsi"/>
        </w:rPr>
        <w:t xml:space="preserve"> naar een volgend kalenderkwartaal is niet mogelijk.</w:t>
      </w:r>
    </w:p>
    <w:p w14:paraId="668658F1" w14:textId="77777777" w:rsidR="006B232A" w:rsidRPr="00431868" w:rsidRDefault="006B232A" w:rsidP="006B232A">
      <w:pPr>
        <w:pStyle w:val="Lijstalinea"/>
        <w:numPr>
          <w:ilvl w:val="0"/>
          <w:numId w:val="17"/>
        </w:numPr>
        <w:rPr>
          <w:rFonts w:asciiTheme="minorHAnsi" w:hAnsiTheme="minorHAnsi" w:cstheme="minorHAnsi"/>
        </w:rPr>
      </w:pPr>
      <w:r w:rsidRPr="00431868">
        <w:rPr>
          <w:rFonts w:asciiTheme="minorHAnsi" w:hAnsiTheme="minorHAnsi" w:cstheme="minorHAnsi"/>
        </w:rPr>
        <w:t>De afstortingsverplichting naar ASR vervalt per 1 januari 2021.</w:t>
      </w:r>
    </w:p>
    <w:p w14:paraId="0BDC9CFC" w14:textId="297F1922" w:rsidR="001B0AD0" w:rsidRDefault="001B0AD0" w:rsidP="00AD5272">
      <w:pPr>
        <w:rPr>
          <w:rFonts w:asciiTheme="minorHAnsi" w:hAnsiTheme="minorHAnsi" w:cstheme="minorHAnsi"/>
        </w:rPr>
      </w:pPr>
    </w:p>
    <w:p w14:paraId="63A9C848" w14:textId="59131803" w:rsidR="00C952EC" w:rsidRPr="00124338" w:rsidRDefault="00C952EC" w:rsidP="00AD5272">
      <w:pPr>
        <w:rPr>
          <w:rFonts w:asciiTheme="minorHAnsi" w:hAnsiTheme="minorHAnsi" w:cstheme="minorHAnsi"/>
          <w:b/>
          <w:color w:val="0070C0"/>
          <w:lang w:eastAsia="ar-SA"/>
        </w:rPr>
      </w:pPr>
      <w:r w:rsidRPr="00124338">
        <w:rPr>
          <w:rFonts w:asciiTheme="minorHAnsi" w:hAnsiTheme="minorHAnsi" w:cstheme="minorHAnsi"/>
          <w:b/>
          <w:color w:val="0070C0"/>
          <w:lang w:eastAsia="ar-SA"/>
        </w:rPr>
        <w:t>Beoordelingssysteem</w:t>
      </w:r>
    </w:p>
    <w:p w14:paraId="14FBD95A" w14:textId="79F10905" w:rsidR="00C952EC" w:rsidRPr="00124338" w:rsidRDefault="00AD5272" w:rsidP="00AD5272">
      <w:pPr>
        <w:rPr>
          <w:rFonts w:asciiTheme="minorHAnsi" w:hAnsiTheme="minorHAnsi" w:cstheme="minorHAnsi"/>
        </w:rPr>
      </w:pPr>
      <w:r w:rsidRPr="00124338">
        <w:rPr>
          <w:rFonts w:asciiTheme="minorHAnsi" w:hAnsiTheme="minorHAnsi" w:cstheme="minorHAnsi"/>
        </w:rPr>
        <w:t>Cao-partijen hebben besloten tot het instellen van een werkgroep</w:t>
      </w:r>
      <w:r w:rsidR="00C952EC" w:rsidRPr="00124338">
        <w:rPr>
          <w:rFonts w:asciiTheme="minorHAnsi" w:hAnsiTheme="minorHAnsi" w:cstheme="minorHAnsi"/>
        </w:rPr>
        <w:t xml:space="preserve">. Uitgangspunt is dat er een beoordelingssysteem blijft bestaan. Binnen Loparex is dit namelijk wereldwijd van toepassing en wij dienen ons hieraan te conformeren. Neemt niet weg dat we binnen bepaalde bandbreedtes aanpassingen in het systeem kunnen doen. </w:t>
      </w:r>
      <w:r w:rsidRPr="00124338">
        <w:rPr>
          <w:rFonts w:asciiTheme="minorHAnsi" w:hAnsiTheme="minorHAnsi" w:cstheme="minorHAnsi"/>
        </w:rPr>
        <w:t xml:space="preserve">De bemensing </w:t>
      </w:r>
      <w:r w:rsidR="004A5D9F">
        <w:rPr>
          <w:rFonts w:asciiTheme="minorHAnsi" w:hAnsiTheme="minorHAnsi" w:cstheme="minorHAnsi"/>
        </w:rPr>
        <w:t xml:space="preserve">van de werkgroep </w:t>
      </w:r>
      <w:r w:rsidRPr="00124338">
        <w:rPr>
          <w:rFonts w:asciiTheme="minorHAnsi" w:hAnsiTheme="minorHAnsi" w:cstheme="minorHAnsi"/>
        </w:rPr>
        <w:t xml:space="preserve">zal een afspiegeling zijn van het personeelsbestand. </w:t>
      </w:r>
      <w:r w:rsidR="00C952EC" w:rsidRPr="00124338">
        <w:rPr>
          <w:rFonts w:asciiTheme="minorHAnsi" w:hAnsiTheme="minorHAnsi" w:cstheme="minorHAnsi"/>
        </w:rPr>
        <w:t>Namens werkgever zullen hierin Paul Geelen en Mirjam Bisseling deelnemen. De werkgroep rapporteert aan CAO partijen.</w:t>
      </w:r>
    </w:p>
    <w:p w14:paraId="4E79AF7E" w14:textId="3E3950AB" w:rsidR="000E13A1" w:rsidRPr="00124338" w:rsidRDefault="000E13A1" w:rsidP="00AD5272">
      <w:pPr>
        <w:rPr>
          <w:rFonts w:asciiTheme="minorHAnsi" w:hAnsiTheme="minorHAnsi" w:cstheme="minorHAnsi"/>
          <w:color w:val="000000"/>
        </w:rPr>
      </w:pPr>
    </w:p>
    <w:p w14:paraId="35D18CC1" w14:textId="77777777" w:rsidR="009461C3" w:rsidRPr="00124338" w:rsidRDefault="009461C3" w:rsidP="00995CFB">
      <w:pPr>
        <w:rPr>
          <w:rFonts w:asciiTheme="minorHAnsi" w:hAnsiTheme="minorHAnsi" w:cstheme="minorHAnsi"/>
          <w:b/>
          <w:color w:val="0070C0"/>
          <w:lang w:eastAsia="ar-SA"/>
        </w:rPr>
      </w:pPr>
      <w:r w:rsidRPr="00124338">
        <w:rPr>
          <w:rFonts w:asciiTheme="minorHAnsi" w:hAnsiTheme="minorHAnsi" w:cstheme="minorHAnsi"/>
          <w:b/>
          <w:color w:val="0070C0"/>
          <w:lang w:eastAsia="ar-SA"/>
        </w:rPr>
        <w:t>Ziektekostenverzekering</w:t>
      </w:r>
    </w:p>
    <w:p w14:paraId="741F3D33" w14:textId="07D3630A" w:rsidR="00886DE3" w:rsidRPr="00124338" w:rsidRDefault="009461C3" w:rsidP="009461C3">
      <w:pPr>
        <w:jc w:val="both"/>
        <w:rPr>
          <w:rFonts w:asciiTheme="minorHAnsi" w:hAnsiTheme="minorHAnsi" w:cstheme="minorHAnsi"/>
        </w:rPr>
      </w:pPr>
      <w:r w:rsidRPr="00124338">
        <w:rPr>
          <w:rFonts w:asciiTheme="minorHAnsi" w:hAnsiTheme="minorHAnsi" w:cstheme="minorHAnsi"/>
        </w:rPr>
        <w:t xml:space="preserve">Deze wordt </w:t>
      </w:r>
      <w:r w:rsidR="00886DE3" w:rsidRPr="00124338">
        <w:rPr>
          <w:rFonts w:asciiTheme="minorHAnsi" w:hAnsiTheme="minorHAnsi" w:cstheme="minorHAnsi"/>
        </w:rPr>
        <w:t>voortaan</w:t>
      </w:r>
      <w:r w:rsidRPr="00124338">
        <w:rPr>
          <w:rFonts w:asciiTheme="minorHAnsi" w:hAnsiTheme="minorHAnsi" w:cstheme="minorHAnsi"/>
        </w:rPr>
        <w:t xml:space="preserve"> </w:t>
      </w:r>
      <w:r w:rsidR="00886DE3" w:rsidRPr="00124338">
        <w:rPr>
          <w:rFonts w:asciiTheme="minorHAnsi" w:hAnsiTheme="minorHAnsi" w:cstheme="minorHAnsi"/>
        </w:rPr>
        <w:t>geïndexeerd</w:t>
      </w:r>
      <w:r w:rsidRPr="00124338">
        <w:rPr>
          <w:rFonts w:asciiTheme="minorHAnsi" w:hAnsiTheme="minorHAnsi" w:cstheme="minorHAnsi"/>
        </w:rPr>
        <w:t xml:space="preserve"> </w:t>
      </w:r>
      <w:r w:rsidR="00886DE3" w:rsidRPr="00124338">
        <w:rPr>
          <w:rFonts w:asciiTheme="minorHAnsi" w:hAnsiTheme="minorHAnsi" w:cstheme="minorHAnsi"/>
        </w:rPr>
        <w:t>met de overeengekomen loonsverhoging.</w:t>
      </w:r>
    </w:p>
    <w:p w14:paraId="37D88876" w14:textId="08F7F6A1" w:rsidR="00C952EC" w:rsidRPr="00124338" w:rsidRDefault="00C952EC" w:rsidP="00AD5272">
      <w:pPr>
        <w:rPr>
          <w:rFonts w:asciiTheme="minorHAnsi" w:hAnsiTheme="minorHAnsi" w:cstheme="minorHAnsi"/>
        </w:rPr>
      </w:pPr>
    </w:p>
    <w:p w14:paraId="06C35686" w14:textId="77777777" w:rsidR="003A79AA" w:rsidRPr="00124338" w:rsidRDefault="003A79AA" w:rsidP="003A79AA">
      <w:pPr>
        <w:rPr>
          <w:rFonts w:asciiTheme="minorHAnsi" w:hAnsiTheme="minorHAnsi" w:cstheme="minorHAnsi"/>
          <w:b/>
          <w:color w:val="0070C0"/>
          <w:lang w:eastAsia="ar-SA"/>
        </w:rPr>
      </w:pPr>
      <w:r w:rsidRPr="00124338">
        <w:rPr>
          <w:rFonts w:asciiTheme="minorHAnsi" w:hAnsiTheme="minorHAnsi" w:cstheme="minorHAnsi"/>
          <w:b/>
          <w:color w:val="0070C0"/>
          <w:lang w:eastAsia="ar-SA"/>
        </w:rPr>
        <w:t>Geboorteverlof</w:t>
      </w:r>
    </w:p>
    <w:p w14:paraId="680B43BA" w14:textId="77777777" w:rsidR="00E83AEB" w:rsidRPr="00124338" w:rsidRDefault="003A79AA" w:rsidP="00E83AEB">
      <w:pPr>
        <w:rPr>
          <w:rFonts w:asciiTheme="minorHAnsi" w:hAnsiTheme="minorHAnsi" w:cstheme="minorHAnsi"/>
          <w:color w:val="000000"/>
        </w:rPr>
      </w:pPr>
      <w:r w:rsidRPr="00124338">
        <w:rPr>
          <w:rFonts w:asciiTheme="minorHAnsi" w:hAnsiTheme="minorHAnsi" w:cstheme="minorHAnsi"/>
          <w:color w:val="000000"/>
        </w:rPr>
        <w:t xml:space="preserve">De cao wordt aangepast aan de nieuwe wettelijke regeling. Per 1 juli 2020 kunnen partners maximaal 5 weken (5 keer het aantal werkuren per week) aanvullend geboorteverlof opnemen. Tijdens het verlof krijgt de partner geen salaris, maar een uitkering van het UWV. Partners hebben recht op aanvullend geboorteverlof als het kind op of ná 1 juli 2020 geboren wordt. Zij moeten het aanvullend geboorteverlof opnemen binnen 6 maanden na de geboorte van het kind. En zij moeten eerst het geboorteverlof van 1 week hebben opgenomen. </w:t>
      </w:r>
    </w:p>
    <w:p w14:paraId="0797652D" w14:textId="77777777" w:rsidR="00E83AEB" w:rsidRPr="00124338" w:rsidRDefault="00E83AEB" w:rsidP="00E83AEB">
      <w:pPr>
        <w:rPr>
          <w:rFonts w:asciiTheme="minorHAnsi" w:hAnsiTheme="minorHAnsi" w:cstheme="minorHAnsi"/>
          <w:color w:val="000000"/>
        </w:rPr>
      </w:pPr>
    </w:p>
    <w:p w14:paraId="5279BE2D" w14:textId="2EF40864" w:rsidR="001666EC" w:rsidRPr="00124338" w:rsidRDefault="001666EC" w:rsidP="00E83AEB">
      <w:pPr>
        <w:rPr>
          <w:rFonts w:asciiTheme="minorHAnsi" w:hAnsiTheme="minorHAnsi" w:cstheme="minorHAnsi"/>
          <w:color w:val="000000"/>
        </w:rPr>
      </w:pPr>
      <w:r w:rsidRPr="00124338">
        <w:rPr>
          <w:rFonts w:asciiTheme="minorHAnsi" w:hAnsiTheme="minorHAnsi" w:cstheme="minorHAnsi"/>
          <w:color w:val="000000"/>
        </w:rPr>
        <w:t xml:space="preserve">Loparex is bereid het aanvullend geboorteverlof 100% door te betalen, </w:t>
      </w:r>
      <w:r w:rsidR="004A5D9F">
        <w:rPr>
          <w:rFonts w:asciiTheme="minorHAnsi" w:hAnsiTheme="minorHAnsi" w:cstheme="minorHAnsi"/>
          <w:color w:val="000000"/>
        </w:rPr>
        <w:t>onder voorwaarde dat</w:t>
      </w:r>
      <w:r w:rsidR="004A5D9F" w:rsidRPr="00124338">
        <w:rPr>
          <w:rFonts w:asciiTheme="minorHAnsi" w:hAnsiTheme="minorHAnsi" w:cstheme="minorHAnsi"/>
          <w:color w:val="000000"/>
        </w:rPr>
        <w:t xml:space="preserve"> </w:t>
      </w:r>
      <w:r w:rsidRPr="00124338">
        <w:rPr>
          <w:rFonts w:asciiTheme="minorHAnsi" w:hAnsiTheme="minorHAnsi" w:cstheme="minorHAnsi"/>
          <w:color w:val="000000"/>
        </w:rPr>
        <w:t>de medewerker 4 vakantiedagen</w:t>
      </w:r>
      <w:r w:rsidR="00E83AEB" w:rsidRPr="00124338">
        <w:rPr>
          <w:rFonts w:asciiTheme="minorHAnsi" w:hAnsiTheme="minorHAnsi" w:cstheme="minorHAnsi"/>
          <w:color w:val="000000"/>
        </w:rPr>
        <w:t xml:space="preserve"> inlevert en </w:t>
      </w:r>
      <w:r w:rsidR="004A5D9F">
        <w:rPr>
          <w:rFonts w:asciiTheme="minorHAnsi" w:hAnsiTheme="minorHAnsi" w:cstheme="minorHAnsi"/>
          <w:color w:val="000000"/>
        </w:rPr>
        <w:t xml:space="preserve">dat er </w:t>
      </w:r>
      <w:r w:rsidRPr="00124338">
        <w:rPr>
          <w:rFonts w:asciiTheme="minorHAnsi" w:hAnsiTheme="minorHAnsi" w:cstheme="minorHAnsi"/>
          <w:color w:val="000000"/>
        </w:rPr>
        <w:t>samen met de leidinggevende een opnameplan wordt gemaakt dat goed kan worden ingepast op de afdeling</w:t>
      </w:r>
      <w:r w:rsidR="004A5D9F">
        <w:rPr>
          <w:rFonts w:asciiTheme="minorHAnsi" w:hAnsiTheme="minorHAnsi" w:cstheme="minorHAnsi"/>
          <w:color w:val="000000"/>
        </w:rPr>
        <w:t xml:space="preserve"> waar de medewerker werkzaam is</w:t>
      </w:r>
      <w:r w:rsidRPr="00124338">
        <w:rPr>
          <w:rFonts w:asciiTheme="minorHAnsi" w:hAnsiTheme="minorHAnsi" w:cstheme="minorHAnsi"/>
          <w:color w:val="000000"/>
        </w:rPr>
        <w:t>.</w:t>
      </w:r>
    </w:p>
    <w:p w14:paraId="707D2F24" w14:textId="5611206D" w:rsidR="00ED064A" w:rsidRPr="00124338" w:rsidRDefault="00ED064A" w:rsidP="00AD5272">
      <w:pPr>
        <w:rPr>
          <w:rFonts w:asciiTheme="minorHAnsi" w:hAnsiTheme="minorHAnsi" w:cstheme="minorHAnsi"/>
          <w:color w:val="000000"/>
        </w:rPr>
      </w:pPr>
    </w:p>
    <w:p w14:paraId="059DD655" w14:textId="529017A7" w:rsidR="006B65C7" w:rsidRPr="00124338" w:rsidRDefault="006B65C7" w:rsidP="006B65C7">
      <w:pPr>
        <w:rPr>
          <w:rFonts w:asciiTheme="minorHAnsi" w:hAnsiTheme="minorHAnsi" w:cstheme="minorHAnsi"/>
          <w:b/>
          <w:color w:val="0070C0"/>
          <w:lang w:eastAsia="ar-SA"/>
        </w:rPr>
      </w:pPr>
      <w:r w:rsidRPr="00124338">
        <w:rPr>
          <w:rFonts w:asciiTheme="minorHAnsi" w:hAnsiTheme="minorHAnsi" w:cstheme="minorHAnsi"/>
          <w:b/>
          <w:color w:val="0070C0"/>
          <w:lang w:eastAsia="ar-SA"/>
        </w:rPr>
        <w:t xml:space="preserve">Werkgroep </w:t>
      </w:r>
      <w:r w:rsidR="00E82B51" w:rsidRPr="00124338">
        <w:rPr>
          <w:rFonts w:asciiTheme="minorHAnsi" w:hAnsiTheme="minorHAnsi" w:cstheme="minorHAnsi"/>
          <w:b/>
          <w:color w:val="0070C0"/>
          <w:lang w:eastAsia="ar-SA"/>
        </w:rPr>
        <w:t>pensioen</w:t>
      </w:r>
    </w:p>
    <w:p w14:paraId="0384947E" w14:textId="62F2BCAB" w:rsidR="006B65C7" w:rsidRPr="00124338" w:rsidRDefault="00813766" w:rsidP="00B60085">
      <w:pPr>
        <w:rPr>
          <w:rFonts w:asciiTheme="minorHAnsi" w:hAnsiTheme="minorHAnsi" w:cstheme="minorHAnsi"/>
          <w:color w:val="000000"/>
        </w:rPr>
      </w:pPr>
      <w:r w:rsidRPr="00124338">
        <w:rPr>
          <w:rFonts w:asciiTheme="minorHAnsi" w:hAnsiTheme="minorHAnsi" w:cstheme="minorHAnsi"/>
          <w:color w:val="000000"/>
        </w:rPr>
        <w:t xml:space="preserve">Gedurende de looptijd komt er een werkgroep die zich </w:t>
      </w:r>
      <w:r w:rsidR="00B60085" w:rsidRPr="00124338">
        <w:rPr>
          <w:rFonts w:asciiTheme="minorHAnsi" w:hAnsiTheme="minorHAnsi" w:cstheme="minorHAnsi"/>
          <w:color w:val="000000"/>
        </w:rPr>
        <w:t>gaat</w:t>
      </w:r>
      <w:r w:rsidRPr="00124338">
        <w:rPr>
          <w:rFonts w:asciiTheme="minorHAnsi" w:hAnsiTheme="minorHAnsi" w:cstheme="minorHAnsi"/>
          <w:color w:val="000000"/>
        </w:rPr>
        <w:t xml:space="preserve"> bezig houden met het g</w:t>
      </w:r>
      <w:r w:rsidR="00B60085" w:rsidRPr="00124338">
        <w:rPr>
          <w:rFonts w:asciiTheme="minorHAnsi" w:hAnsiTheme="minorHAnsi" w:cstheme="minorHAnsi"/>
          <w:color w:val="000000"/>
        </w:rPr>
        <w:t>e</w:t>
      </w:r>
      <w:r w:rsidRPr="00124338">
        <w:rPr>
          <w:rFonts w:asciiTheme="minorHAnsi" w:hAnsiTheme="minorHAnsi" w:cstheme="minorHAnsi"/>
          <w:color w:val="000000"/>
        </w:rPr>
        <w:t>neratiepact, de RVU-regeling en 100 weken opsparen. Ook hier zal gelden dat er een afsp</w:t>
      </w:r>
      <w:r w:rsidR="00A62E8E" w:rsidRPr="00124338">
        <w:rPr>
          <w:rFonts w:asciiTheme="minorHAnsi" w:hAnsiTheme="minorHAnsi" w:cstheme="minorHAnsi"/>
          <w:color w:val="000000"/>
        </w:rPr>
        <w:t xml:space="preserve">iegeling </w:t>
      </w:r>
      <w:r w:rsidR="00B60085" w:rsidRPr="00124338">
        <w:rPr>
          <w:rFonts w:asciiTheme="minorHAnsi" w:hAnsiTheme="minorHAnsi" w:cstheme="minorHAnsi"/>
          <w:color w:val="000000"/>
        </w:rPr>
        <w:t xml:space="preserve">van de medewerkers is. Vanuit Loparex nemen </w:t>
      </w:r>
      <w:r w:rsidR="006B65C7" w:rsidRPr="00124338">
        <w:rPr>
          <w:rFonts w:asciiTheme="minorHAnsi" w:hAnsiTheme="minorHAnsi" w:cstheme="minorHAnsi"/>
          <w:color w:val="000000"/>
        </w:rPr>
        <w:t>Mirjam Bisseling</w:t>
      </w:r>
      <w:r w:rsidR="00B60085" w:rsidRPr="00124338">
        <w:rPr>
          <w:rFonts w:asciiTheme="minorHAnsi" w:hAnsiTheme="minorHAnsi" w:cstheme="minorHAnsi"/>
          <w:color w:val="000000"/>
        </w:rPr>
        <w:t xml:space="preserve"> en </w:t>
      </w:r>
      <w:r w:rsidR="006B65C7" w:rsidRPr="00124338">
        <w:rPr>
          <w:rFonts w:asciiTheme="minorHAnsi" w:hAnsiTheme="minorHAnsi" w:cstheme="minorHAnsi"/>
          <w:color w:val="000000"/>
        </w:rPr>
        <w:t>Luuk Zegers</w:t>
      </w:r>
      <w:r w:rsidR="00B60085" w:rsidRPr="00124338">
        <w:rPr>
          <w:rFonts w:asciiTheme="minorHAnsi" w:hAnsiTheme="minorHAnsi" w:cstheme="minorHAnsi"/>
          <w:color w:val="000000"/>
        </w:rPr>
        <w:t xml:space="preserve"> deel</w:t>
      </w:r>
      <w:r w:rsidR="006B65C7" w:rsidRPr="00124338">
        <w:rPr>
          <w:rFonts w:asciiTheme="minorHAnsi" w:hAnsiTheme="minorHAnsi" w:cstheme="minorHAnsi"/>
          <w:color w:val="000000"/>
        </w:rPr>
        <w:t xml:space="preserve">. </w:t>
      </w:r>
      <w:r w:rsidR="00B60085" w:rsidRPr="00124338">
        <w:rPr>
          <w:rFonts w:asciiTheme="minorHAnsi" w:hAnsiTheme="minorHAnsi" w:cstheme="minorHAnsi"/>
          <w:color w:val="000000"/>
        </w:rPr>
        <w:t>K</w:t>
      </w:r>
      <w:r w:rsidR="006B65C7" w:rsidRPr="00124338">
        <w:rPr>
          <w:rFonts w:asciiTheme="minorHAnsi" w:hAnsiTheme="minorHAnsi" w:cstheme="minorHAnsi"/>
          <w:color w:val="000000"/>
        </w:rPr>
        <w:t>ostenneutral</w:t>
      </w:r>
      <w:r w:rsidR="004A5D9F">
        <w:rPr>
          <w:rFonts w:asciiTheme="minorHAnsi" w:hAnsiTheme="minorHAnsi" w:cstheme="minorHAnsi"/>
          <w:color w:val="000000"/>
        </w:rPr>
        <w:t>iteit</w:t>
      </w:r>
      <w:r w:rsidR="00B60085" w:rsidRPr="00124338">
        <w:rPr>
          <w:rFonts w:asciiTheme="minorHAnsi" w:hAnsiTheme="minorHAnsi" w:cstheme="minorHAnsi"/>
          <w:color w:val="000000"/>
        </w:rPr>
        <w:t xml:space="preserve"> is </w:t>
      </w:r>
      <w:r w:rsidR="00E82B51" w:rsidRPr="00124338">
        <w:rPr>
          <w:rFonts w:asciiTheme="minorHAnsi" w:hAnsiTheme="minorHAnsi" w:cstheme="minorHAnsi"/>
          <w:color w:val="000000"/>
        </w:rPr>
        <w:t>een</w:t>
      </w:r>
      <w:r w:rsidR="00B60085" w:rsidRPr="00124338">
        <w:rPr>
          <w:rFonts w:asciiTheme="minorHAnsi" w:hAnsiTheme="minorHAnsi" w:cstheme="minorHAnsi"/>
          <w:color w:val="000000"/>
        </w:rPr>
        <w:t xml:space="preserve"> randvoorwaarde.</w:t>
      </w:r>
    </w:p>
    <w:p w14:paraId="1041641E" w14:textId="77777777" w:rsidR="006B65C7" w:rsidRPr="00124338" w:rsidRDefault="006B65C7" w:rsidP="006B65C7">
      <w:pPr>
        <w:rPr>
          <w:rFonts w:asciiTheme="minorHAnsi" w:hAnsiTheme="minorHAnsi" w:cstheme="minorHAnsi"/>
          <w:color w:val="000000"/>
        </w:rPr>
      </w:pPr>
    </w:p>
    <w:p w14:paraId="3A264706" w14:textId="77777777" w:rsidR="00D13C92" w:rsidRPr="00124338" w:rsidRDefault="00D13C92" w:rsidP="00D13C92">
      <w:pPr>
        <w:rPr>
          <w:rFonts w:asciiTheme="minorHAnsi" w:hAnsiTheme="minorHAnsi" w:cstheme="minorHAnsi"/>
          <w:b/>
          <w:color w:val="0070C0"/>
          <w:lang w:eastAsia="ar-SA"/>
        </w:rPr>
      </w:pPr>
      <w:r w:rsidRPr="00124338">
        <w:rPr>
          <w:rFonts w:asciiTheme="minorHAnsi" w:hAnsiTheme="minorHAnsi" w:cstheme="minorHAnsi"/>
          <w:b/>
          <w:color w:val="0070C0"/>
          <w:lang w:eastAsia="ar-SA"/>
        </w:rPr>
        <w:t>Bijzonder verlof</w:t>
      </w:r>
    </w:p>
    <w:p w14:paraId="4D70BF26" w14:textId="77777777" w:rsidR="006B7375" w:rsidRPr="00124338" w:rsidRDefault="00D13C92" w:rsidP="006B7375">
      <w:pPr>
        <w:rPr>
          <w:rFonts w:asciiTheme="minorHAnsi" w:hAnsiTheme="minorHAnsi" w:cstheme="minorHAnsi"/>
          <w:color w:val="000000"/>
        </w:rPr>
      </w:pPr>
      <w:r w:rsidRPr="00124338">
        <w:rPr>
          <w:rFonts w:asciiTheme="minorHAnsi" w:hAnsiTheme="minorHAnsi" w:cstheme="minorHAnsi"/>
          <w:color w:val="000000"/>
        </w:rPr>
        <w:t>De tekst wordt verduideli</w:t>
      </w:r>
      <w:r w:rsidR="004F16E8" w:rsidRPr="00124338">
        <w:rPr>
          <w:rFonts w:asciiTheme="minorHAnsi" w:hAnsiTheme="minorHAnsi" w:cstheme="minorHAnsi"/>
          <w:color w:val="000000"/>
        </w:rPr>
        <w:t xml:space="preserve">jkt zodat helder is dat de dag van </w:t>
      </w:r>
      <w:r w:rsidR="006B7375" w:rsidRPr="00124338">
        <w:rPr>
          <w:rFonts w:asciiTheme="minorHAnsi" w:hAnsiTheme="minorHAnsi" w:cstheme="minorHAnsi"/>
          <w:color w:val="000000"/>
        </w:rPr>
        <w:t>de gebeurtenis ook de dag van opname is.</w:t>
      </w:r>
    </w:p>
    <w:p w14:paraId="3D3556CE" w14:textId="77777777" w:rsidR="006B7375" w:rsidRPr="00124338" w:rsidRDefault="006B7375" w:rsidP="006B7375">
      <w:pPr>
        <w:rPr>
          <w:rFonts w:asciiTheme="minorHAnsi" w:hAnsiTheme="minorHAnsi" w:cstheme="minorHAnsi"/>
          <w:color w:val="000000"/>
        </w:rPr>
      </w:pPr>
    </w:p>
    <w:p w14:paraId="6FE66B22" w14:textId="42500044" w:rsidR="00DB10C1" w:rsidRPr="00124338" w:rsidRDefault="00DB10C1" w:rsidP="006B7375">
      <w:pPr>
        <w:rPr>
          <w:rFonts w:asciiTheme="minorHAnsi" w:hAnsiTheme="minorHAnsi" w:cstheme="minorHAnsi"/>
          <w:b/>
          <w:color w:val="0070C0"/>
          <w:lang w:eastAsia="ar-SA"/>
        </w:rPr>
      </w:pPr>
      <w:r w:rsidRPr="00124338">
        <w:rPr>
          <w:rFonts w:asciiTheme="minorHAnsi" w:hAnsiTheme="minorHAnsi" w:cstheme="minorHAnsi"/>
          <w:b/>
          <w:color w:val="0070C0"/>
          <w:lang w:eastAsia="ar-SA"/>
        </w:rPr>
        <w:t>Vakantiedagen</w:t>
      </w:r>
    </w:p>
    <w:p w14:paraId="1761D2A1" w14:textId="153CCBE2" w:rsidR="00A97E5A" w:rsidRPr="00124338" w:rsidRDefault="00DB10C1" w:rsidP="00DB10C1">
      <w:pPr>
        <w:rPr>
          <w:rFonts w:asciiTheme="minorHAnsi" w:hAnsiTheme="minorHAnsi" w:cstheme="minorHAnsi"/>
          <w:color w:val="000000"/>
        </w:rPr>
      </w:pPr>
      <w:r w:rsidRPr="00124338">
        <w:rPr>
          <w:rFonts w:asciiTheme="minorHAnsi" w:hAnsiTheme="minorHAnsi" w:cstheme="minorHAnsi"/>
          <w:color w:val="000000"/>
        </w:rPr>
        <w:t xml:space="preserve">De huidige cao-afspraak </w:t>
      </w:r>
      <w:r w:rsidR="00A97E5A" w:rsidRPr="00124338">
        <w:rPr>
          <w:rFonts w:asciiTheme="minorHAnsi" w:hAnsiTheme="minorHAnsi" w:cstheme="minorHAnsi"/>
          <w:color w:val="000000"/>
        </w:rPr>
        <w:t xml:space="preserve">dat medewerkers vakantiedagen kunnen kopen komt te vervallen omdat er </w:t>
      </w:r>
      <w:r w:rsidR="00995CFB" w:rsidRPr="00124338">
        <w:rPr>
          <w:rFonts w:asciiTheme="minorHAnsi" w:hAnsiTheme="minorHAnsi" w:cstheme="minorHAnsi"/>
          <w:color w:val="000000"/>
        </w:rPr>
        <w:t xml:space="preserve">nauwelijks tot </w:t>
      </w:r>
      <w:r w:rsidR="00A97E5A" w:rsidRPr="00124338">
        <w:rPr>
          <w:rFonts w:asciiTheme="minorHAnsi" w:hAnsiTheme="minorHAnsi" w:cstheme="minorHAnsi"/>
          <w:color w:val="000000"/>
        </w:rPr>
        <w:t xml:space="preserve">geen gebruik van </w:t>
      </w:r>
      <w:r w:rsidR="004A5D9F">
        <w:rPr>
          <w:rFonts w:asciiTheme="minorHAnsi" w:hAnsiTheme="minorHAnsi" w:cstheme="minorHAnsi"/>
          <w:color w:val="000000"/>
        </w:rPr>
        <w:t>is</w:t>
      </w:r>
      <w:r w:rsidR="004A5D9F" w:rsidRPr="00124338">
        <w:rPr>
          <w:rFonts w:asciiTheme="minorHAnsi" w:hAnsiTheme="minorHAnsi" w:cstheme="minorHAnsi"/>
          <w:color w:val="000000"/>
        </w:rPr>
        <w:t xml:space="preserve"> </w:t>
      </w:r>
      <w:r w:rsidR="00A97E5A" w:rsidRPr="00124338">
        <w:rPr>
          <w:rFonts w:asciiTheme="minorHAnsi" w:hAnsiTheme="minorHAnsi" w:cstheme="minorHAnsi"/>
          <w:color w:val="000000"/>
        </w:rPr>
        <w:t>gemaakt.</w:t>
      </w:r>
    </w:p>
    <w:p w14:paraId="1B2275A2" w14:textId="77777777" w:rsidR="004F16E8" w:rsidRPr="00124338" w:rsidRDefault="004F16E8" w:rsidP="00AD5272">
      <w:pPr>
        <w:rPr>
          <w:rFonts w:asciiTheme="minorHAnsi" w:hAnsiTheme="minorHAnsi" w:cstheme="minorHAnsi"/>
          <w:color w:val="000000"/>
        </w:rPr>
      </w:pPr>
    </w:p>
    <w:p w14:paraId="495E5678" w14:textId="734187E9" w:rsidR="00A51FF6" w:rsidRPr="00124338" w:rsidRDefault="00A51FF6" w:rsidP="00A51FF6">
      <w:pPr>
        <w:rPr>
          <w:rFonts w:asciiTheme="minorHAnsi" w:hAnsiTheme="minorHAnsi" w:cstheme="minorHAnsi"/>
          <w:b/>
          <w:color w:val="0070C0"/>
          <w:lang w:eastAsia="ar-SA"/>
        </w:rPr>
      </w:pPr>
      <w:r w:rsidRPr="00124338">
        <w:rPr>
          <w:rFonts w:asciiTheme="minorHAnsi" w:hAnsiTheme="minorHAnsi" w:cstheme="minorHAnsi"/>
          <w:b/>
          <w:color w:val="0070C0"/>
          <w:lang w:eastAsia="ar-SA"/>
        </w:rPr>
        <w:t>Overuren (artikel 7.9)</w:t>
      </w:r>
    </w:p>
    <w:p w14:paraId="22B40F81" w14:textId="585334A7" w:rsidR="004A5D9F" w:rsidRDefault="00A51FF6" w:rsidP="00C422DD">
      <w:pPr>
        <w:rPr>
          <w:rFonts w:asciiTheme="minorHAnsi" w:hAnsiTheme="minorHAnsi" w:cstheme="minorHAnsi"/>
          <w:color w:val="000000"/>
        </w:rPr>
      </w:pPr>
      <w:r w:rsidRPr="00124338">
        <w:rPr>
          <w:rFonts w:asciiTheme="minorHAnsi" w:hAnsiTheme="minorHAnsi" w:cstheme="minorHAnsi"/>
          <w:color w:val="000000"/>
        </w:rPr>
        <w:t xml:space="preserve">Werknemers kunnen zelf bepalen hoe zij overuren vergoed willen hebben. </w:t>
      </w:r>
      <w:r w:rsidR="004A5D9F">
        <w:rPr>
          <w:rFonts w:asciiTheme="minorHAnsi" w:hAnsiTheme="minorHAnsi" w:cstheme="minorHAnsi"/>
          <w:color w:val="000000"/>
        </w:rPr>
        <w:t>Als dit vanwege zwaarwegende bedrijfsomstandigheden gewijzigd moet worden, zal dit pas na overleg met de OR doorgevoerd worden.</w:t>
      </w:r>
    </w:p>
    <w:p w14:paraId="575298F8" w14:textId="77777777" w:rsidR="00A51FF6" w:rsidRPr="00124338" w:rsidRDefault="00A51FF6" w:rsidP="00A51FF6">
      <w:pPr>
        <w:rPr>
          <w:rFonts w:asciiTheme="minorHAnsi" w:hAnsiTheme="minorHAnsi" w:cstheme="minorHAnsi"/>
          <w:color w:val="000000"/>
        </w:rPr>
      </w:pPr>
    </w:p>
    <w:p w14:paraId="00DAF694" w14:textId="77777777" w:rsidR="0032200B" w:rsidRPr="00124338" w:rsidRDefault="0032200B" w:rsidP="0032200B">
      <w:pPr>
        <w:rPr>
          <w:rFonts w:asciiTheme="minorHAnsi" w:hAnsiTheme="minorHAnsi" w:cstheme="minorHAnsi"/>
          <w:b/>
          <w:color w:val="0070C0"/>
          <w:lang w:eastAsia="ar-SA"/>
        </w:rPr>
      </w:pPr>
      <w:r w:rsidRPr="00124338">
        <w:rPr>
          <w:rFonts w:asciiTheme="minorHAnsi" w:hAnsiTheme="minorHAnsi" w:cstheme="minorHAnsi"/>
          <w:b/>
          <w:color w:val="0070C0"/>
          <w:lang w:eastAsia="ar-SA"/>
        </w:rPr>
        <w:t>Pensioen</w:t>
      </w:r>
    </w:p>
    <w:p w14:paraId="039E3921" w14:textId="0004B278" w:rsidR="0032200B" w:rsidRPr="00124338" w:rsidRDefault="0032200B" w:rsidP="0032200B">
      <w:pPr>
        <w:rPr>
          <w:rFonts w:asciiTheme="minorHAnsi" w:hAnsiTheme="minorHAnsi" w:cstheme="minorHAnsi"/>
          <w:color w:val="000000"/>
        </w:rPr>
      </w:pPr>
      <w:r w:rsidRPr="00124338">
        <w:rPr>
          <w:rFonts w:asciiTheme="minorHAnsi" w:hAnsiTheme="minorHAnsi" w:cstheme="minorHAnsi"/>
          <w:color w:val="000000"/>
        </w:rPr>
        <w:t xml:space="preserve">Op dit moment zijn er geen aanpassingen nodig, maar dat wordt met de komst van de nieuwe Pensioenwet anders. Tussen 2022 en 2026 zullen wij afspraken moeten maken over de vlakke staffel en de eerbiedigende werking van de huidige staffel zoals die voor de huidige werknemers geldt. In diezelfde overgangsperiode zullen we ook over de wijzigingen voor wat betreft nabestaandenpensioen afspraken moeten maken. Maar daarvoor komt deze CAO te vroeg. </w:t>
      </w:r>
    </w:p>
    <w:p w14:paraId="680246AE" w14:textId="77777777" w:rsidR="0032200B" w:rsidRPr="00124338" w:rsidRDefault="0032200B" w:rsidP="0032200B">
      <w:pPr>
        <w:rPr>
          <w:rFonts w:asciiTheme="minorHAnsi" w:hAnsiTheme="minorHAnsi" w:cstheme="minorHAnsi"/>
          <w:color w:val="000000"/>
        </w:rPr>
      </w:pPr>
      <w:r w:rsidRPr="00124338">
        <w:rPr>
          <w:rFonts w:asciiTheme="minorHAnsi" w:hAnsiTheme="minorHAnsi" w:cstheme="minorHAnsi"/>
          <w:color w:val="000000"/>
        </w:rPr>
        <w:t>Voor wat betreft de bevroren rechten van de oude middelloonregeling kunnen we duidelijk zijn. Die blijven bevroren: die kunnen niet ontdooid worden en omgezet worden naar het ASR pensioenfonds, omdat ASR dit niet wil, gelet op de leeftijdsopbouw van het Loparex werknemersbestand.</w:t>
      </w:r>
    </w:p>
    <w:p w14:paraId="3A5E7B0C" w14:textId="77777777" w:rsidR="0032200B" w:rsidRPr="00124338" w:rsidRDefault="0032200B" w:rsidP="0032200B">
      <w:pPr>
        <w:rPr>
          <w:rFonts w:asciiTheme="minorHAnsi" w:hAnsiTheme="minorHAnsi" w:cstheme="minorHAnsi"/>
          <w:color w:val="000000"/>
        </w:rPr>
      </w:pPr>
    </w:p>
    <w:p w14:paraId="0D866CAC" w14:textId="77777777" w:rsidR="00644159" w:rsidRPr="00124338" w:rsidRDefault="00644159" w:rsidP="00AD5272">
      <w:pPr>
        <w:rPr>
          <w:rFonts w:asciiTheme="minorHAnsi" w:hAnsiTheme="minorHAnsi" w:cstheme="minorHAnsi"/>
          <w:b/>
          <w:color w:val="0070C0"/>
          <w:lang w:eastAsia="ar-SA"/>
        </w:rPr>
      </w:pPr>
      <w:r w:rsidRPr="00124338">
        <w:rPr>
          <w:rFonts w:asciiTheme="minorHAnsi" w:hAnsiTheme="minorHAnsi" w:cstheme="minorHAnsi"/>
          <w:b/>
          <w:color w:val="0070C0"/>
          <w:lang w:eastAsia="ar-SA"/>
        </w:rPr>
        <w:t>Fiscalisering van de reiskosten</w:t>
      </w:r>
    </w:p>
    <w:p w14:paraId="7903A7DF" w14:textId="508ADA93" w:rsidR="00644159" w:rsidRPr="00124338" w:rsidRDefault="00644159" w:rsidP="00AD5272">
      <w:pPr>
        <w:rPr>
          <w:rFonts w:asciiTheme="minorHAnsi" w:hAnsiTheme="minorHAnsi" w:cstheme="minorHAnsi"/>
          <w:color w:val="000000"/>
        </w:rPr>
      </w:pPr>
      <w:r w:rsidRPr="00124338">
        <w:rPr>
          <w:rFonts w:asciiTheme="minorHAnsi" w:hAnsiTheme="minorHAnsi" w:cstheme="minorHAnsi"/>
          <w:color w:val="000000"/>
        </w:rPr>
        <w:t xml:space="preserve">De fiscus maakt het mogelijk om (een deel) van de bruto eindejaarsuitkering van december om te wisselen voor een onbelaste vergoeding woon-werkverkeer. Onze medewerkers ontvangen een fiscaal voordeel en de pensioengrondslag wordt hierdoor verlaagd. Partijen zijn het eens geworden </w:t>
      </w:r>
      <w:r w:rsidR="00355B93" w:rsidRPr="00124338">
        <w:rPr>
          <w:rFonts w:asciiTheme="minorHAnsi" w:hAnsiTheme="minorHAnsi" w:cstheme="minorHAnsi"/>
          <w:color w:val="000000"/>
        </w:rPr>
        <w:t>dat deze regeling voortaan jaarlijks</w:t>
      </w:r>
      <w:r w:rsidR="006B232A">
        <w:rPr>
          <w:rFonts w:asciiTheme="minorHAnsi" w:hAnsiTheme="minorHAnsi" w:cstheme="minorHAnsi"/>
          <w:color w:val="000000"/>
        </w:rPr>
        <w:t>, in september/oktober,</w:t>
      </w:r>
      <w:r w:rsidR="00355B93" w:rsidRPr="00124338">
        <w:rPr>
          <w:rFonts w:asciiTheme="minorHAnsi" w:hAnsiTheme="minorHAnsi" w:cstheme="minorHAnsi"/>
          <w:color w:val="000000"/>
        </w:rPr>
        <w:t xml:space="preserve"> met de OR wordt besproken.</w:t>
      </w:r>
    </w:p>
    <w:p w14:paraId="3EAE8CDB" w14:textId="77777777" w:rsidR="00644159" w:rsidRPr="00124338" w:rsidRDefault="00644159" w:rsidP="00AD5272">
      <w:pPr>
        <w:pStyle w:val="Geenafstand"/>
        <w:rPr>
          <w:rFonts w:asciiTheme="minorHAnsi" w:eastAsia="Arial Unicode MS" w:hAnsiTheme="minorHAnsi" w:cstheme="minorHAnsi"/>
          <w:sz w:val="22"/>
          <w:szCs w:val="22"/>
        </w:rPr>
      </w:pPr>
    </w:p>
    <w:p w14:paraId="495E8274" w14:textId="77777777" w:rsidR="00644159" w:rsidRPr="00124338" w:rsidRDefault="00644159" w:rsidP="00AD5272">
      <w:pPr>
        <w:pStyle w:val="Geenafstand"/>
        <w:rPr>
          <w:rFonts w:asciiTheme="minorHAnsi" w:eastAsia="Arial Unicode MS" w:hAnsiTheme="minorHAnsi" w:cstheme="minorHAnsi"/>
          <w:sz w:val="22"/>
          <w:szCs w:val="22"/>
        </w:rPr>
      </w:pPr>
      <w:r w:rsidRPr="00124338">
        <w:rPr>
          <w:rFonts w:asciiTheme="minorHAnsi" w:eastAsia="Arial Unicode MS" w:hAnsiTheme="minorHAnsi" w:cstheme="minorHAnsi"/>
          <w:sz w:val="22"/>
          <w:szCs w:val="22"/>
        </w:rPr>
        <w:t>Loparex BV</w:t>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ab/>
        <w:t>FNV</w:t>
      </w:r>
    </w:p>
    <w:p w14:paraId="49BF6E43" w14:textId="6CEBB1A0" w:rsidR="00581A84" w:rsidRPr="00124338" w:rsidRDefault="00A47EA9" w:rsidP="00AD5272">
      <w:pPr>
        <w:pStyle w:val="Geenafstand"/>
        <w:rPr>
          <w:rFonts w:asciiTheme="minorHAnsi" w:hAnsiTheme="minorHAnsi" w:cstheme="minorHAnsi"/>
          <w:color w:val="000000"/>
          <w:sz w:val="22"/>
          <w:szCs w:val="22"/>
        </w:rPr>
      </w:pPr>
      <w:r w:rsidRPr="00124338">
        <w:rPr>
          <w:rFonts w:asciiTheme="minorHAnsi" w:eastAsia="Arial Unicode MS" w:hAnsiTheme="minorHAnsi" w:cstheme="minorHAnsi"/>
          <w:sz w:val="22"/>
          <w:szCs w:val="22"/>
        </w:rPr>
        <w:t>Luuk Zegers</w:t>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00644159" w:rsidRPr="00124338">
        <w:rPr>
          <w:rFonts w:asciiTheme="minorHAnsi" w:eastAsia="Arial Unicode MS" w:hAnsiTheme="minorHAnsi" w:cstheme="minorHAnsi"/>
          <w:sz w:val="22"/>
          <w:szCs w:val="22"/>
        </w:rPr>
        <w:tab/>
      </w:r>
      <w:r w:rsidRPr="00124338">
        <w:rPr>
          <w:rFonts w:asciiTheme="minorHAnsi" w:eastAsia="Arial Unicode MS" w:hAnsiTheme="minorHAnsi" w:cstheme="minorHAnsi"/>
          <w:sz w:val="22"/>
          <w:szCs w:val="22"/>
        </w:rPr>
        <w:t>Eric Brouwer</w:t>
      </w:r>
    </w:p>
    <w:sectPr w:rsidR="00581A84" w:rsidRPr="0012433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9A99" w14:textId="77777777" w:rsidR="006A66A9" w:rsidRDefault="006A66A9" w:rsidP="0030450B">
      <w:r>
        <w:separator/>
      </w:r>
    </w:p>
  </w:endnote>
  <w:endnote w:type="continuationSeparator" w:id="0">
    <w:p w14:paraId="644918C4" w14:textId="77777777" w:rsidR="006A66A9" w:rsidRDefault="006A66A9" w:rsidP="0030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BQ-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3752"/>
      <w:docPartObj>
        <w:docPartGallery w:val="Page Numbers (Bottom of Page)"/>
        <w:docPartUnique/>
      </w:docPartObj>
    </w:sdtPr>
    <w:sdtEndPr/>
    <w:sdtContent>
      <w:p w14:paraId="6FCFC3E9" w14:textId="77777777" w:rsidR="00B710D9" w:rsidRDefault="00B710D9">
        <w:pPr>
          <w:pStyle w:val="Voettekst"/>
          <w:jc w:val="right"/>
        </w:pPr>
        <w:r>
          <w:fldChar w:fldCharType="begin"/>
        </w:r>
        <w:r>
          <w:instrText>PAGE   \* MERGEFORMAT</w:instrText>
        </w:r>
        <w:r>
          <w:fldChar w:fldCharType="separate"/>
        </w:r>
        <w:r>
          <w:rPr>
            <w:noProof/>
          </w:rPr>
          <w:t>2</w:t>
        </w:r>
        <w:r>
          <w:fldChar w:fldCharType="end"/>
        </w:r>
      </w:p>
    </w:sdtContent>
  </w:sdt>
  <w:p w14:paraId="109BAA06" w14:textId="77777777" w:rsidR="00B710D9" w:rsidRDefault="00B710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2660" w14:textId="77777777" w:rsidR="006A66A9" w:rsidRDefault="006A66A9" w:rsidP="0030450B">
      <w:r>
        <w:separator/>
      </w:r>
    </w:p>
  </w:footnote>
  <w:footnote w:type="continuationSeparator" w:id="0">
    <w:p w14:paraId="50E2FF3F" w14:textId="77777777" w:rsidR="006A66A9" w:rsidRDefault="006A66A9" w:rsidP="0030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0CE"/>
    <w:multiLevelType w:val="hybridMultilevel"/>
    <w:tmpl w:val="B2387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4089A"/>
    <w:multiLevelType w:val="hybridMultilevel"/>
    <w:tmpl w:val="62D0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6055C"/>
    <w:multiLevelType w:val="hybridMultilevel"/>
    <w:tmpl w:val="24AC5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771B2"/>
    <w:multiLevelType w:val="hybridMultilevel"/>
    <w:tmpl w:val="8E141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212DFC"/>
    <w:multiLevelType w:val="hybridMultilevel"/>
    <w:tmpl w:val="9984F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8F2614"/>
    <w:multiLevelType w:val="hybridMultilevel"/>
    <w:tmpl w:val="A80EA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B15FA"/>
    <w:multiLevelType w:val="hybridMultilevel"/>
    <w:tmpl w:val="9A124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DE6118"/>
    <w:multiLevelType w:val="hybridMultilevel"/>
    <w:tmpl w:val="CDC6A730"/>
    <w:lvl w:ilvl="0" w:tplc="5DC014E8">
      <w:start w:val="1"/>
      <w:numFmt w:val="decimal"/>
      <w:lvlText w:val="%1."/>
      <w:lvlJc w:val="left"/>
      <w:pPr>
        <w:ind w:left="360" w:hanging="360"/>
      </w:pPr>
      <w:rPr>
        <w:color w:val="8496B0" w:themeColor="text2" w:themeTint="99"/>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0800C0F"/>
    <w:multiLevelType w:val="hybridMultilevel"/>
    <w:tmpl w:val="A72CBE9C"/>
    <w:lvl w:ilvl="0" w:tplc="FC8C0A0A">
      <w:numFmt w:val="bullet"/>
      <w:lvlText w:val="-"/>
      <w:lvlJc w:val="left"/>
      <w:pPr>
        <w:ind w:left="720" w:hanging="360"/>
      </w:pPr>
      <w:rPr>
        <w:rFonts w:ascii="Calibri" w:eastAsia="PMingLiU" w:hAnsi="Calibri" w:cs="Times New Roman"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63B5B3B"/>
    <w:multiLevelType w:val="hybridMultilevel"/>
    <w:tmpl w:val="E23806FA"/>
    <w:lvl w:ilvl="0" w:tplc="DEBEBDA8">
      <w:start w:val="1"/>
      <w:numFmt w:val="decimal"/>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FB333FC"/>
    <w:multiLevelType w:val="hybridMultilevel"/>
    <w:tmpl w:val="12E05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DB0D2F"/>
    <w:multiLevelType w:val="hybridMultilevel"/>
    <w:tmpl w:val="C81C66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F6C4C9B"/>
    <w:multiLevelType w:val="hybridMultilevel"/>
    <w:tmpl w:val="19264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DB59F0"/>
    <w:multiLevelType w:val="hybridMultilevel"/>
    <w:tmpl w:val="D7407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AD3DB8"/>
    <w:multiLevelType w:val="hybridMultilevel"/>
    <w:tmpl w:val="D46CC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8F2E05"/>
    <w:multiLevelType w:val="hybridMultilevel"/>
    <w:tmpl w:val="7234B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A76AD2"/>
    <w:multiLevelType w:val="hybridMultilevel"/>
    <w:tmpl w:val="67825706"/>
    <w:lvl w:ilvl="0" w:tplc="2E08558C">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6"/>
  </w:num>
  <w:num w:numId="6">
    <w:abstractNumId w:val="2"/>
  </w:num>
  <w:num w:numId="7">
    <w:abstractNumId w:val="0"/>
  </w:num>
  <w:num w:numId="8">
    <w:abstractNumId w:val="10"/>
  </w:num>
  <w:num w:numId="9">
    <w:abstractNumId w:val="8"/>
  </w:num>
  <w:num w:numId="10">
    <w:abstractNumId w:val="12"/>
  </w:num>
  <w:num w:numId="11">
    <w:abstractNumId w:val="15"/>
  </w:num>
  <w:num w:numId="12">
    <w:abstractNumId w:val="4"/>
  </w:num>
  <w:num w:numId="13">
    <w:abstractNumId w:val="13"/>
  </w:num>
  <w:num w:numId="14">
    <w:abstractNumId w:val="1"/>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3D"/>
    <w:rsid w:val="0000211B"/>
    <w:rsid w:val="00012FAB"/>
    <w:rsid w:val="000322F5"/>
    <w:rsid w:val="0003694A"/>
    <w:rsid w:val="0004214F"/>
    <w:rsid w:val="000441FA"/>
    <w:rsid w:val="00045EC3"/>
    <w:rsid w:val="00047B7D"/>
    <w:rsid w:val="00055819"/>
    <w:rsid w:val="000668E5"/>
    <w:rsid w:val="0006717D"/>
    <w:rsid w:val="000718D8"/>
    <w:rsid w:val="0007601F"/>
    <w:rsid w:val="00091CC8"/>
    <w:rsid w:val="00092C92"/>
    <w:rsid w:val="000A23B0"/>
    <w:rsid w:val="000A7E02"/>
    <w:rsid w:val="000C303D"/>
    <w:rsid w:val="000C6A7F"/>
    <w:rsid w:val="000E13A1"/>
    <w:rsid w:val="000E518C"/>
    <w:rsid w:val="000F0F34"/>
    <w:rsid w:val="000F42FA"/>
    <w:rsid w:val="000F7F4F"/>
    <w:rsid w:val="00100A4D"/>
    <w:rsid w:val="00100C8B"/>
    <w:rsid w:val="00124338"/>
    <w:rsid w:val="00126ACF"/>
    <w:rsid w:val="00130D8D"/>
    <w:rsid w:val="001311C2"/>
    <w:rsid w:val="00131ADE"/>
    <w:rsid w:val="00133475"/>
    <w:rsid w:val="00142F78"/>
    <w:rsid w:val="00144B29"/>
    <w:rsid w:val="00145A4F"/>
    <w:rsid w:val="00157996"/>
    <w:rsid w:val="001666EC"/>
    <w:rsid w:val="001719D9"/>
    <w:rsid w:val="00182EE7"/>
    <w:rsid w:val="0018474A"/>
    <w:rsid w:val="001A5F87"/>
    <w:rsid w:val="001B0AD0"/>
    <w:rsid w:val="001C38F1"/>
    <w:rsid w:val="001D2851"/>
    <w:rsid w:val="001F1053"/>
    <w:rsid w:val="001F5CF0"/>
    <w:rsid w:val="001F6A2C"/>
    <w:rsid w:val="00204980"/>
    <w:rsid w:val="002063FB"/>
    <w:rsid w:val="002305E7"/>
    <w:rsid w:val="002442FC"/>
    <w:rsid w:val="002817B1"/>
    <w:rsid w:val="00293479"/>
    <w:rsid w:val="002A298E"/>
    <w:rsid w:val="002A450C"/>
    <w:rsid w:val="002B6470"/>
    <w:rsid w:val="002C086B"/>
    <w:rsid w:val="002C5871"/>
    <w:rsid w:val="002D7222"/>
    <w:rsid w:val="002F6F40"/>
    <w:rsid w:val="0030450B"/>
    <w:rsid w:val="003208CC"/>
    <w:rsid w:val="0032200B"/>
    <w:rsid w:val="003265E3"/>
    <w:rsid w:val="003307B1"/>
    <w:rsid w:val="003355FB"/>
    <w:rsid w:val="00350FB7"/>
    <w:rsid w:val="0035171B"/>
    <w:rsid w:val="00355B93"/>
    <w:rsid w:val="003562A1"/>
    <w:rsid w:val="00372E86"/>
    <w:rsid w:val="003740FE"/>
    <w:rsid w:val="00390680"/>
    <w:rsid w:val="0039585D"/>
    <w:rsid w:val="003A79AA"/>
    <w:rsid w:val="003B3D8C"/>
    <w:rsid w:val="003C0E5F"/>
    <w:rsid w:val="003C14A9"/>
    <w:rsid w:val="003C3535"/>
    <w:rsid w:val="003C5BDF"/>
    <w:rsid w:val="003E6E29"/>
    <w:rsid w:val="003F1CFA"/>
    <w:rsid w:val="003F291F"/>
    <w:rsid w:val="003F4ECA"/>
    <w:rsid w:val="003F54F3"/>
    <w:rsid w:val="00404F4C"/>
    <w:rsid w:val="00411F8F"/>
    <w:rsid w:val="004172DC"/>
    <w:rsid w:val="00422A0F"/>
    <w:rsid w:val="00424E8C"/>
    <w:rsid w:val="00430A87"/>
    <w:rsid w:val="00437EAE"/>
    <w:rsid w:val="00443963"/>
    <w:rsid w:val="00456412"/>
    <w:rsid w:val="00471B15"/>
    <w:rsid w:val="00481F3B"/>
    <w:rsid w:val="004832C7"/>
    <w:rsid w:val="00483884"/>
    <w:rsid w:val="00485445"/>
    <w:rsid w:val="004A5D9F"/>
    <w:rsid w:val="004C7EE5"/>
    <w:rsid w:val="004D68CD"/>
    <w:rsid w:val="004D6FDE"/>
    <w:rsid w:val="004F16E8"/>
    <w:rsid w:val="004F75FC"/>
    <w:rsid w:val="00500DCD"/>
    <w:rsid w:val="0050235B"/>
    <w:rsid w:val="00506027"/>
    <w:rsid w:val="00514D44"/>
    <w:rsid w:val="005251D4"/>
    <w:rsid w:val="005514FF"/>
    <w:rsid w:val="00552B86"/>
    <w:rsid w:val="00563616"/>
    <w:rsid w:val="00572A72"/>
    <w:rsid w:val="005744F4"/>
    <w:rsid w:val="00581A84"/>
    <w:rsid w:val="0058371C"/>
    <w:rsid w:val="00586B14"/>
    <w:rsid w:val="005B026C"/>
    <w:rsid w:val="005B28B6"/>
    <w:rsid w:val="005C2A2A"/>
    <w:rsid w:val="005D1BBA"/>
    <w:rsid w:val="005F01D1"/>
    <w:rsid w:val="005F0EFA"/>
    <w:rsid w:val="00611C44"/>
    <w:rsid w:val="00613C6D"/>
    <w:rsid w:val="00625006"/>
    <w:rsid w:val="00632ADC"/>
    <w:rsid w:val="00634F54"/>
    <w:rsid w:val="00636FCC"/>
    <w:rsid w:val="00644159"/>
    <w:rsid w:val="00644E1E"/>
    <w:rsid w:val="006562B1"/>
    <w:rsid w:val="00666B37"/>
    <w:rsid w:val="00670361"/>
    <w:rsid w:val="00670626"/>
    <w:rsid w:val="00685E55"/>
    <w:rsid w:val="00686C90"/>
    <w:rsid w:val="00694211"/>
    <w:rsid w:val="0069425B"/>
    <w:rsid w:val="006947C7"/>
    <w:rsid w:val="006A1DA7"/>
    <w:rsid w:val="006A5F50"/>
    <w:rsid w:val="006A66A9"/>
    <w:rsid w:val="006B008F"/>
    <w:rsid w:val="006B1E68"/>
    <w:rsid w:val="006B232A"/>
    <w:rsid w:val="006B65C7"/>
    <w:rsid w:val="006B66E1"/>
    <w:rsid w:val="006B7375"/>
    <w:rsid w:val="006E243D"/>
    <w:rsid w:val="006F53F3"/>
    <w:rsid w:val="007019CB"/>
    <w:rsid w:val="007024BF"/>
    <w:rsid w:val="0074335A"/>
    <w:rsid w:val="00755BD7"/>
    <w:rsid w:val="00756043"/>
    <w:rsid w:val="00764DEB"/>
    <w:rsid w:val="007669D3"/>
    <w:rsid w:val="007738EC"/>
    <w:rsid w:val="0077574E"/>
    <w:rsid w:val="00790889"/>
    <w:rsid w:val="007908D7"/>
    <w:rsid w:val="00794640"/>
    <w:rsid w:val="007B4D5B"/>
    <w:rsid w:val="007B6B8F"/>
    <w:rsid w:val="007C3207"/>
    <w:rsid w:val="007F4DF9"/>
    <w:rsid w:val="00813766"/>
    <w:rsid w:val="00814EDD"/>
    <w:rsid w:val="00831475"/>
    <w:rsid w:val="00835506"/>
    <w:rsid w:val="00851FA7"/>
    <w:rsid w:val="00852462"/>
    <w:rsid w:val="008612C8"/>
    <w:rsid w:val="00864AD9"/>
    <w:rsid w:val="008769DA"/>
    <w:rsid w:val="00886DE3"/>
    <w:rsid w:val="00893EAF"/>
    <w:rsid w:val="008A0322"/>
    <w:rsid w:val="008B1EF8"/>
    <w:rsid w:val="008B6123"/>
    <w:rsid w:val="008C23EE"/>
    <w:rsid w:val="008C65E6"/>
    <w:rsid w:val="008E6FAA"/>
    <w:rsid w:val="008F7264"/>
    <w:rsid w:val="00903A76"/>
    <w:rsid w:val="00906570"/>
    <w:rsid w:val="009276F9"/>
    <w:rsid w:val="0093115E"/>
    <w:rsid w:val="00936AA8"/>
    <w:rsid w:val="009401E9"/>
    <w:rsid w:val="009461C3"/>
    <w:rsid w:val="009505EA"/>
    <w:rsid w:val="00991ADF"/>
    <w:rsid w:val="00994942"/>
    <w:rsid w:val="00995CFB"/>
    <w:rsid w:val="009A24E7"/>
    <w:rsid w:val="009A3A10"/>
    <w:rsid w:val="009A3CA2"/>
    <w:rsid w:val="009A7096"/>
    <w:rsid w:val="009B457D"/>
    <w:rsid w:val="009B66F0"/>
    <w:rsid w:val="009C1673"/>
    <w:rsid w:val="009C28AA"/>
    <w:rsid w:val="009D50DF"/>
    <w:rsid w:val="009D6F91"/>
    <w:rsid w:val="009E4833"/>
    <w:rsid w:val="009F733A"/>
    <w:rsid w:val="00A12173"/>
    <w:rsid w:val="00A137F1"/>
    <w:rsid w:val="00A216B8"/>
    <w:rsid w:val="00A27477"/>
    <w:rsid w:val="00A30408"/>
    <w:rsid w:val="00A3490E"/>
    <w:rsid w:val="00A47EA9"/>
    <w:rsid w:val="00A51FF6"/>
    <w:rsid w:val="00A55D00"/>
    <w:rsid w:val="00A61E6F"/>
    <w:rsid w:val="00A62E8E"/>
    <w:rsid w:val="00A64482"/>
    <w:rsid w:val="00A71155"/>
    <w:rsid w:val="00A80B17"/>
    <w:rsid w:val="00A97E5A"/>
    <w:rsid w:val="00AA6166"/>
    <w:rsid w:val="00AA693B"/>
    <w:rsid w:val="00AB49D1"/>
    <w:rsid w:val="00AB7017"/>
    <w:rsid w:val="00AC4D76"/>
    <w:rsid w:val="00AC7264"/>
    <w:rsid w:val="00AD1977"/>
    <w:rsid w:val="00AD2975"/>
    <w:rsid w:val="00AD5272"/>
    <w:rsid w:val="00AE0C27"/>
    <w:rsid w:val="00AE2309"/>
    <w:rsid w:val="00AE2F3E"/>
    <w:rsid w:val="00AF2C1F"/>
    <w:rsid w:val="00AF6C75"/>
    <w:rsid w:val="00B01638"/>
    <w:rsid w:val="00B05EAD"/>
    <w:rsid w:val="00B307C3"/>
    <w:rsid w:val="00B41023"/>
    <w:rsid w:val="00B45C2B"/>
    <w:rsid w:val="00B47210"/>
    <w:rsid w:val="00B508E1"/>
    <w:rsid w:val="00B54FC0"/>
    <w:rsid w:val="00B60085"/>
    <w:rsid w:val="00B60FC1"/>
    <w:rsid w:val="00B61B35"/>
    <w:rsid w:val="00B710D9"/>
    <w:rsid w:val="00B71451"/>
    <w:rsid w:val="00B77C4A"/>
    <w:rsid w:val="00B81807"/>
    <w:rsid w:val="00B853E4"/>
    <w:rsid w:val="00BB1119"/>
    <w:rsid w:val="00BC064E"/>
    <w:rsid w:val="00BD3F3A"/>
    <w:rsid w:val="00BD4EC8"/>
    <w:rsid w:val="00BF37CE"/>
    <w:rsid w:val="00BF4E0B"/>
    <w:rsid w:val="00C058E0"/>
    <w:rsid w:val="00C15664"/>
    <w:rsid w:val="00C22296"/>
    <w:rsid w:val="00C22EBF"/>
    <w:rsid w:val="00C30157"/>
    <w:rsid w:val="00C3051D"/>
    <w:rsid w:val="00C422DD"/>
    <w:rsid w:val="00C51E8C"/>
    <w:rsid w:val="00C532ED"/>
    <w:rsid w:val="00C6440D"/>
    <w:rsid w:val="00C64A9A"/>
    <w:rsid w:val="00C90D94"/>
    <w:rsid w:val="00C90E3A"/>
    <w:rsid w:val="00C952EC"/>
    <w:rsid w:val="00CB25F7"/>
    <w:rsid w:val="00CC62C2"/>
    <w:rsid w:val="00CE7FD3"/>
    <w:rsid w:val="00CF3C2C"/>
    <w:rsid w:val="00D01210"/>
    <w:rsid w:val="00D13C92"/>
    <w:rsid w:val="00D14317"/>
    <w:rsid w:val="00D32CDC"/>
    <w:rsid w:val="00D3540A"/>
    <w:rsid w:val="00D35934"/>
    <w:rsid w:val="00D45F8A"/>
    <w:rsid w:val="00D4794F"/>
    <w:rsid w:val="00D61F30"/>
    <w:rsid w:val="00D64A32"/>
    <w:rsid w:val="00D979AF"/>
    <w:rsid w:val="00DA1DCB"/>
    <w:rsid w:val="00DB0FAE"/>
    <w:rsid w:val="00DB10C1"/>
    <w:rsid w:val="00DB1DD9"/>
    <w:rsid w:val="00DC7553"/>
    <w:rsid w:val="00DD18F0"/>
    <w:rsid w:val="00DD3206"/>
    <w:rsid w:val="00DE1B3A"/>
    <w:rsid w:val="00DF236D"/>
    <w:rsid w:val="00DF2400"/>
    <w:rsid w:val="00DF2547"/>
    <w:rsid w:val="00DF6029"/>
    <w:rsid w:val="00DF711F"/>
    <w:rsid w:val="00E13385"/>
    <w:rsid w:val="00E150A3"/>
    <w:rsid w:val="00E40297"/>
    <w:rsid w:val="00E55467"/>
    <w:rsid w:val="00E55FF5"/>
    <w:rsid w:val="00E73C7A"/>
    <w:rsid w:val="00E823F6"/>
    <w:rsid w:val="00E82B51"/>
    <w:rsid w:val="00E83AEB"/>
    <w:rsid w:val="00E91446"/>
    <w:rsid w:val="00EB7E76"/>
    <w:rsid w:val="00EC1FCD"/>
    <w:rsid w:val="00EC6856"/>
    <w:rsid w:val="00ED064A"/>
    <w:rsid w:val="00ED42B6"/>
    <w:rsid w:val="00EE1B70"/>
    <w:rsid w:val="00EF5603"/>
    <w:rsid w:val="00F017BE"/>
    <w:rsid w:val="00F02B75"/>
    <w:rsid w:val="00F10F44"/>
    <w:rsid w:val="00F145D6"/>
    <w:rsid w:val="00F34D9B"/>
    <w:rsid w:val="00F501A4"/>
    <w:rsid w:val="00F51A26"/>
    <w:rsid w:val="00F51B3F"/>
    <w:rsid w:val="00F5475E"/>
    <w:rsid w:val="00F61F6B"/>
    <w:rsid w:val="00F7422E"/>
    <w:rsid w:val="00F77DCA"/>
    <w:rsid w:val="00F8463E"/>
    <w:rsid w:val="00F85BCB"/>
    <w:rsid w:val="00FB5BC9"/>
    <w:rsid w:val="00FB615F"/>
    <w:rsid w:val="00FE7115"/>
    <w:rsid w:val="00FF74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A8B9"/>
  <w15:docId w15:val="{80F6FC24-0775-45D2-8F7D-D40147B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243D"/>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243D"/>
    <w:pPr>
      <w:spacing w:before="100" w:beforeAutospacing="1" w:after="100" w:afterAutospacing="1"/>
    </w:pPr>
    <w:rPr>
      <w:rFonts w:ascii="Times New Roman" w:hAnsi="Times New Roman"/>
      <w:sz w:val="24"/>
      <w:szCs w:val="24"/>
    </w:rPr>
  </w:style>
  <w:style w:type="paragraph" w:styleId="Geenafstand">
    <w:name w:val="No Spacing"/>
    <w:basedOn w:val="Standaard"/>
    <w:uiPriority w:val="1"/>
    <w:qFormat/>
    <w:rsid w:val="006E243D"/>
    <w:rPr>
      <w:rFonts w:ascii="Times New Roman" w:hAnsi="Times New Roman"/>
      <w:sz w:val="20"/>
      <w:szCs w:val="20"/>
    </w:rPr>
  </w:style>
  <w:style w:type="paragraph" w:styleId="Lijstalinea">
    <w:name w:val="List Paragraph"/>
    <w:basedOn w:val="Standaard"/>
    <w:uiPriority w:val="34"/>
    <w:qFormat/>
    <w:rsid w:val="006E243D"/>
    <w:pPr>
      <w:ind w:left="720"/>
    </w:pPr>
  </w:style>
  <w:style w:type="paragraph" w:customStyle="1" w:styleId="Standaardteks">
    <w:name w:val="Standaardteks"/>
    <w:basedOn w:val="Standaard"/>
    <w:rsid w:val="006E243D"/>
    <w:pPr>
      <w:snapToGrid w:val="0"/>
    </w:pPr>
    <w:rPr>
      <w:rFonts w:ascii="Times New Roman" w:hAnsi="Times New Roman"/>
      <w:color w:val="000000"/>
      <w:sz w:val="24"/>
      <w:szCs w:val="24"/>
    </w:rPr>
  </w:style>
  <w:style w:type="paragraph" w:styleId="Tekstzonderopmaak">
    <w:name w:val="Plain Text"/>
    <w:basedOn w:val="Standaard"/>
    <w:link w:val="TekstzonderopmaakChar"/>
    <w:unhideWhenUsed/>
    <w:rsid w:val="006E243D"/>
    <w:rPr>
      <w:rFonts w:cs="Consolas"/>
      <w:szCs w:val="21"/>
      <w:lang w:eastAsia="en-US"/>
    </w:rPr>
  </w:style>
  <w:style w:type="character" w:customStyle="1" w:styleId="TekstzonderopmaakChar">
    <w:name w:val="Tekst zonder opmaak Char"/>
    <w:basedOn w:val="Standaardalinea-lettertype"/>
    <w:link w:val="Tekstzonderopmaak"/>
    <w:uiPriority w:val="99"/>
    <w:semiHidden/>
    <w:rsid w:val="006E243D"/>
    <w:rPr>
      <w:rFonts w:ascii="Calibri" w:hAnsi="Calibri" w:cs="Consolas"/>
      <w:szCs w:val="21"/>
    </w:rPr>
  </w:style>
  <w:style w:type="paragraph" w:styleId="Koptekst">
    <w:name w:val="header"/>
    <w:basedOn w:val="Standaard"/>
    <w:link w:val="KoptekstChar"/>
    <w:uiPriority w:val="99"/>
    <w:unhideWhenUsed/>
    <w:rsid w:val="0030450B"/>
    <w:pPr>
      <w:tabs>
        <w:tab w:val="center" w:pos="4536"/>
        <w:tab w:val="right" w:pos="9072"/>
      </w:tabs>
    </w:pPr>
  </w:style>
  <w:style w:type="character" w:customStyle="1" w:styleId="KoptekstChar">
    <w:name w:val="Koptekst Char"/>
    <w:basedOn w:val="Standaardalinea-lettertype"/>
    <w:link w:val="Koptekst"/>
    <w:uiPriority w:val="99"/>
    <w:rsid w:val="0030450B"/>
    <w:rPr>
      <w:rFonts w:ascii="Calibri" w:hAnsi="Calibri" w:cs="Times New Roman"/>
      <w:lang w:eastAsia="nl-NL"/>
    </w:rPr>
  </w:style>
  <w:style w:type="paragraph" w:styleId="Voettekst">
    <w:name w:val="footer"/>
    <w:basedOn w:val="Standaard"/>
    <w:link w:val="VoettekstChar"/>
    <w:uiPriority w:val="99"/>
    <w:unhideWhenUsed/>
    <w:rsid w:val="0030450B"/>
    <w:pPr>
      <w:tabs>
        <w:tab w:val="center" w:pos="4536"/>
        <w:tab w:val="right" w:pos="9072"/>
      </w:tabs>
    </w:pPr>
  </w:style>
  <w:style w:type="character" w:customStyle="1" w:styleId="VoettekstChar">
    <w:name w:val="Voettekst Char"/>
    <w:basedOn w:val="Standaardalinea-lettertype"/>
    <w:link w:val="Voettekst"/>
    <w:uiPriority w:val="99"/>
    <w:rsid w:val="0030450B"/>
    <w:rPr>
      <w:rFonts w:ascii="Calibri" w:hAnsi="Calibri" w:cs="Times New Roman"/>
      <w:lang w:eastAsia="nl-NL"/>
    </w:rPr>
  </w:style>
  <w:style w:type="paragraph" w:styleId="Ballontekst">
    <w:name w:val="Balloon Text"/>
    <w:basedOn w:val="Standaard"/>
    <w:link w:val="BallontekstChar"/>
    <w:uiPriority w:val="99"/>
    <w:semiHidden/>
    <w:unhideWhenUsed/>
    <w:rsid w:val="007024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4BF"/>
    <w:rPr>
      <w:rFonts w:ascii="Segoe UI" w:hAnsi="Segoe UI" w:cs="Segoe UI"/>
      <w:sz w:val="18"/>
      <w:szCs w:val="18"/>
      <w:lang w:eastAsia="nl-NL"/>
    </w:rPr>
  </w:style>
  <w:style w:type="paragraph" w:customStyle="1" w:styleId="InitialStyle">
    <w:name w:val="InitialStyle"/>
    <w:rsid w:val="00572A72"/>
    <w:pPr>
      <w:widowControl w:val="0"/>
      <w:spacing w:after="0" w:line="240" w:lineRule="auto"/>
    </w:pPr>
    <w:rPr>
      <w:rFonts w:ascii="Courier New" w:eastAsia="Times New Roman" w:hAnsi="Courier New" w:cs="Times New Roman"/>
      <w:snapToGrid w:val="0"/>
      <w:color w:val="000000"/>
      <w:sz w:val="24"/>
      <w:szCs w:val="20"/>
      <w:lang w:val="en-AU"/>
    </w:rPr>
  </w:style>
  <w:style w:type="paragraph" w:customStyle="1" w:styleId="AbbottFaxInfo">
    <w:name w:val="Abbott Fax Info"/>
    <w:basedOn w:val="Standaard"/>
    <w:rsid w:val="00FB5BC9"/>
    <w:pPr>
      <w:spacing w:line="260" w:lineRule="exact"/>
    </w:pPr>
    <w:rPr>
      <w:rFonts w:ascii="Arial" w:eastAsia="Times New Roman" w:hAnsi="Arial"/>
      <w:sz w:val="18"/>
      <w:szCs w:val="20"/>
      <w:lang w:val="en-US" w:eastAsia="en-US"/>
    </w:rPr>
  </w:style>
  <w:style w:type="character" w:styleId="Tekstvantijdelijkeaanduiding">
    <w:name w:val="Placeholder Text"/>
    <w:basedOn w:val="Standaardalinea-lettertype"/>
    <w:uiPriority w:val="99"/>
    <w:semiHidden/>
    <w:rsid w:val="00142F78"/>
    <w:rPr>
      <w:color w:val="808080"/>
    </w:rPr>
  </w:style>
  <w:style w:type="character" w:customStyle="1" w:styleId="apple-converted-space">
    <w:name w:val="apple-converted-space"/>
    <w:basedOn w:val="Standaardalinea-lettertype"/>
    <w:rsid w:val="000F0F34"/>
  </w:style>
  <w:style w:type="table" w:styleId="Tabelraster">
    <w:name w:val="Table Grid"/>
    <w:basedOn w:val="Standaardtabel"/>
    <w:uiPriority w:val="39"/>
    <w:rsid w:val="006A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01plattekst">
    <w:name w:val="00001 plat tekst"/>
    <w:rsid w:val="00F017BE"/>
    <w:pPr>
      <w:tabs>
        <w:tab w:val="left" w:pos="283"/>
        <w:tab w:val="left" w:pos="566"/>
        <w:tab w:val="left" w:pos="850"/>
        <w:tab w:val="left" w:pos="1133"/>
      </w:tabs>
      <w:spacing w:after="0" w:line="240" w:lineRule="auto"/>
    </w:pPr>
    <w:rPr>
      <w:rFonts w:ascii="HelveticaBQ-Roman" w:eastAsia="Times New Roman" w:hAnsi="HelveticaBQ-Roman" w:cs="Times New Roman"/>
      <w:sz w:val="16"/>
      <w:szCs w:val="20"/>
    </w:rPr>
  </w:style>
  <w:style w:type="character" w:styleId="Hyperlink">
    <w:name w:val="Hyperlink"/>
    <w:basedOn w:val="Standaardalinea-lettertype"/>
    <w:uiPriority w:val="99"/>
    <w:semiHidden/>
    <w:unhideWhenUsed/>
    <w:rsid w:val="00685E55"/>
    <w:rPr>
      <w:color w:val="0000FF"/>
      <w:u w:val="single"/>
    </w:rPr>
  </w:style>
  <w:style w:type="paragraph" w:styleId="Revisie">
    <w:name w:val="Revision"/>
    <w:hidden/>
    <w:uiPriority w:val="99"/>
    <w:semiHidden/>
    <w:rsid w:val="006B232A"/>
    <w:pPr>
      <w:spacing w:after="0" w:line="240" w:lineRule="auto"/>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639">
      <w:bodyDiv w:val="1"/>
      <w:marLeft w:val="0"/>
      <w:marRight w:val="0"/>
      <w:marTop w:val="0"/>
      <w:marBottom w:val="0"/>
      <w:divBdr>
        <w:top w:val="none" w:sz="0" w:space="0" w:color="auto"/>
        <w:left w:val="none" w:sz="0" w:space="0" w:color="auto"/>
        <w:bottom w:val="none" w:sz="0" w:space="0" w:color="auto"/>
        <w:right w:val="none" w:sz="0" w:space="0" w:color="auto"/>
      </w:divBdr>
    </w:div>
    <w:div w:id="331180270">
      <w:bodyDiv w:val="1"/>
      <w:marLeft w:val="0"/>
      <w:marRight w:val="0"/>
      <w:marTop w:val="0"/>
      <w:marBottom w:val="0"/>
      <w:divBdr>
        <w:top w:val="none" w:sz="0" w:space="0" w:color="auto"/>
        <w:left w:val="none" w:sz="0" w:space="0" w:color="auto"/>
        <w:bottom w:val="none" w:sz="0" w:space="0" w:color="auto"/>
        <w:right w:val="none" w:sz="0" w:space="0" w:color="auto"/>
      </w:divBdr>
    </w:div>
    <w:div w:id="491214366">
      <w:bodyDiv w:val="1"/>
      <w:marLeft w:val="0"/>
      <w:marRight w:val="0"/>
      <w:marTop w:val="0"/>
      <w:marBottom w:val="0"/>
      <w:divBdr>
        <w:top w:val="none" w:sz="0" w:space="0" w:color="auto"/>
        <w:left w:val="none" w:sz="0" w:space="0" w:color="auto"/>
        <w:bottom w:val="none" w:sz="0" w:space="0" w:color="auto"/>
        <w:right w:val="none" w:sz="0" w:space="0" w:color="auto"/>
      </w:divBdr>
    </w:div>
    <w:div w:id="607663415">
      <w:bodyDiv w:val="1"/>
      <w:marLeft w:val="0"/>
      <w:marRight w:val="0"/>
      <w:marTop w:val="0"/>
      <w:marBottom w:val="0"/>
      <w:divBdr>
        <w:top w:val="none" w:sz="0" w:space="0" w:color="auto"/>
        <w:left w:val="none" w:sz="0" w:space="0" w:color="auto"/>
        <w:bottom w:val="none" w:sz="0" w:space="0" w:color="auto"/>
        <w:right w:val="none" w:sz="0" w:space="0" w:color="auto"/>
      </w:divBdr>
    </w:div>
    <w:div w:id="661855651">
      <w:bodyDiv w:val="1"/>
      <w:marLeft w:val="0"/>
      <w:marRight w:val="0"/>
      <w:marTop w:val="0"/>
      <w:marBottom w:val="0"/>
      <w:divBdr>
        <w:top w:val="none" w:sz="0" w:space="0" w:color="auto"/>
        <w:left w:val="none" w:sz="0" w:space="0" w:color="auto"/>
        <w:bottom w:val="none" w:sz="0" w:space="0" w:color="auto"/>
        <w:right w:val="none" w:sz="0" w:space="0" w:color="auto"/>
      </w:divBdr>
    </w:div>
    <w:div w:id="782845428">
      <w:bodyDiv w:val="1"/>
      <w:marLeft w:val="0"/>
      <w:marRight w:val="0"/>
      <w:marTop w:val="0"/>
      <w:marBottom w:val="0"/>
      <w:divBdr>
        <w:top w:val="none" w:sz="0" w:space="0" w:color="auto"/>
        <w:left w:val="none" w:sz="0" w:space="0" w:color="auto"/>
        <w:bottom w:val="none" w:sz="0" w:space="0" w:color="auto"/>
        <w:right w:val="none" w:sz="0" w:space="0" w:color="auto"/>
      </w:divBdr>
    </w:div>
    <w:div w:id="1103650257">
      <w:bodyDiv w:val="1"/>
      <w:marLeft w:val="0"/>
      <w:marRight w:val="0"/>
      <w:marTop w:val="0"/>
      <w:marBottom w:val="0"/>
      <w:divBdr>
        <w:top w:val="none" w:sz="0" w:space="0" w:color="auto"/>
        <w:left w:val="none" w:sz="0" w:space="0" w:color="auto"/>
        <w:bottom w:val="none" w:sz="0" w:space="0" w:color="auto"/>
        <w:right w:val="none" w:sz="0" w:space="0" w:color="auto"/>
      </w:divBdr>
    </w:div>
    <w:div w:id="1207332272">
      <w:bodyDiv w:val="1"/>
      <w:marLeft w:val="0"/>
      <w:marRight w:val="0"/>
      <w:marTop w:val="0"/>
      <w:marBottom w:val="0"/>
      <w:divBdr>
        <w:top w:val="none" w:sz="0" w:space="0" w:color="auto"/>
        <w:left w:val="none" w:sz="0" w:space="0" w:color="auto"/>
        <w:bottom w:val="none" w:sz="0" w:space="0" w:color="auto"/>
        <w:right w:val="none" w:sz="0" w:space="0" w:color="auto"/>
      </w:divBdr>
    </w:div>
    <w:div w:id="1609315828">
      <w:bodyDiv w:val="1"/>
      <w:marLeft w:val="0"/>
      <w:marRight w:val="0"/>
      <w:marTop w:val="0"/>
      <w:marBottom w:val="0"/>
      <w:divBdr>
        <w:top w:val="none" w:sz="0" w:space="0" w:color="auto"/>
        <w:left w:val="none" w:sz="0" w:space="0" w:color="auto"/>
        <w:bottom w:val="none" w:sz="0" w:space="0" w:color="auto"/>
        <w:right w:val="none" w:sz="0" w:space="0" w:color="auto"/>
      </w:divBdr>
    </w:div>
    <w:div w:id="1876111523">
      <w:bodyDiv w:val="1"/>
      <w:marLeft w:val="0"/>
      <w:marRight w:val="0"/>
      <w:marTop w:val="0"/>
      <w:marBottom w:val="0"/>
      <w:divBdr>
        <w:top w:val="none" w:sz="0" w:space="0" w:color="auto"/>
        <w:left w:val="none" w:sz="0" w:space="0" w:color="auto"/>
        <w:bottom w:val="none" w:sz="0" w:space="0" w:color="auto"/>
        <w:right w:val="none" w:sz="0" w:space="0" w:color="auto"/>
      </w:divBdr>
    </w:div>
    <w:div w:id="1942565176">
      <w:bodyDiv w:val="1"/>
      <w:marLeft w:val="0"/>
      <w:marRight w:val="0"/>
      <w:marTop w:val="0"/>
      <w:marBottom w:val="0"/>
      <w:divBdr>
        <w:top w:val="none" w:sz="0" w:space="0" w:color="auto"/>
        <w:left w:val="none" w:sz="0" w:space="0" w:color="auto"/>
        <w:bottom w:val="none" w:sz="0" w:space="0" w:color="auto"/>
        <w:right w:val="none" w:sz="0" w:space="0" w:color="auto"/>
      </w:divBdr>
    </w:div>
    <w:div w:id="1972441979">
      <w:bodyDiv w:val="1"/>
      <w:marLeft w:val="0"/>
      <w:marRight w:val="0"/>
      <w:marTop w:val="0"/>
      <w:marBottom w:val="0"/>
      <w:divBdr>
        <w:top w:val="none" w:sz="0" w:space="0" w:color="auto"/>
        <w:left w:val="none" w:sz="0" w:space="0" w:color="auto"/>
        <w:bottom w:val="none" w:sz="0" w:space="0" w:color="auto"/>
        <w:right w:val="none" w:sz="0" w:space="0" w:color="auto"/>
      </w:divBdr>
    </w:div>
    <w:div w:id="21300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http://upload.wikimedia.org/wikipedia/fi/b/ba/Loparex_logo.p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pload.wikimedia.org/wikipedia/fi/b/ba/Loparex_logo.p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14.jpg@01D087E1.5037A6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D5DC13A64BA04CAE61A2BC606D7873" ma:contentTypeVersion="238" ma:contentTypeDescription="" ma:contentTypeScope="" ma:versionID="d4e1d2960ec67e117a9cb421d72027aa">
  <xsd:schema xmlns:xsd="http://www.w3.org/2001/XMLSchema" xmlns:xs="http://www.w3.org/2001/XMLSchema" xmlns:p="http://schemas.microsoft.com/office/2006/metadata/properties" xmlns:ns2="40258e7b-703f-4e35-9311-87c4af9a2fa7" xmlns:ns3="c88ecf82-2823-4e26-abcb-01c5d530d311" xmlns:ns4="9f519dea-e8a4-43e2-a53a-96e3dd1a02f2" targetNamespace="http://schemas.microsoft.com/office/2006/metadata/properties" ma:root="true" ma:fieldsID="cf0b7c2406d27595afb0d9f987da9e21" ns2:_="" ns3:_="" ns4:_="">
    <xsd:import namespace="40258e7b-703f-4e35-9311-87c4af9a2fa7"/>
    <xsd:import namespace="c88ecf82-2823-4e26-abcb-01c5d530d311"/>
    <xsd:import namespace="9f519dea-e8a4-43e2-a53a-96e3dd1a02f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519dea-e8a4-43e2-a53a-96e3dd1a02f2" elementFormDefault="qualified">
    <xsd:import namespace="http://schemas.microsoft.com/office/2006/documentManagement/types"/>
    <xsd:import namespace="http://schemas.microsoft.com/office/infopath/2007/PartnerControls"/>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30</Value>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A000-1747378867-16829</_dlc_DocId>
    <_dlc_DocIdUrl xmlns="c88ecf82-2823-4e26-abcb-01c5d530d311">
      <Url>https://awvncrm.sharepoint.com/sites/afdelingen/CAO-info/_layouts/15/DocIdRedir.aspx?ID=A000-1747378867-16829</Url>
      <Description>A000-1747378867-16829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610F-5E05-4570-92B1-7D637FD64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9f519dea-e8a4-43e2-a53a-96e3dd1a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3ED75-B1ED-4A52-9E45-F9D55E292DE5}">
  <ds:schemaRefs>
    <ds:schemaRef ds:uri="http://schemas.microsoft.com/sharepoint/events"/>
  </ds:schemaRefs>
</ds:datastoreItem>
</file>

<file path=customXml/itemProps3.xml><?xml version="1.0" encoding="utf-8"?>
<ds:datastoreItem xmlns:ds="http://schemas.openxmlformats.org/officeDocument/2006/customXml" ds:itemID="{2E51D1C1-5775-46DC-A21A-1A08A3AF9F4C}">
  <ds:schemaRefs>
    <ds:schemaRef ds:uri="http://schemas.microsoft.com/sharepoint/v3/contenttype/forms"/>
  </ds:schemaRefs>
</ds:datastoreItem>
</file>

<file path=customXml/itemProps4.xml><?xml version="1.0" encoding="utf-8"?>
<ds:datastoreItem xmlns:ds="http://schemas.openxmlformats.org/officeDocument/2006/customXml" ds:itemID="{25C79733-C8D0-4042-AEB3-5839E92E8758}">
  <ds:schemaRefs>
    <ds:schemaRef ds:uri="Microsoft.SharePoint.Taxonomy.ContentTypeSync"/>
  </ds:schemaRefs>
</ds:datastoreItem>
</file>

<file path=customXml/itemProps5.xml><?xml version="1.0" encoding="utf-8"?>
<ds:datastoreItem xmlns:ds="http://schemas.openxmlformats.org/officeDocument/2006/customXml" ds:itemID="{FE8247D4-7143-41F1-AEA2-5185DCBCEB87}">
  <ds:schemaRefs>
    <ds:schemaRef ds:uri="http://purl.org/dc/dcmitype/"/>
    <ds:schemaRef ds:uri="c88ecf82-2823-4e26-abcb-01c5d530d31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f519dea-e8a4-43e2-a53a-96e3dd1a02f2"/>
    <ds:schemaRef ds:uri="40258e7b-703f-4e35-9311-87c4af9a2fa7"/>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A1ACC31D-3D1A-4865-8B57-CE14F883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Loparex 2020-2021 Eindvoorstel, bron AWVN</vt:lpstr>
      <vt:lpstr/>
    </vt:vector>
  </TitlesOfParts>
  <Company>AWVN</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Loparex 2020-2021 Eindvoorstel, bron AWVN</dc:title>
  <dc:creator>Delhaas, T.</dc:creator>
  <cp:lastModifiedBy>Brigitta Kraayvanger</cp:lastModifiedBy>
  <cp:revision>2</cp:revision>
  <cp:lastPrinted>2020-12-15T12:42:00Z</cp:lastPrinted>
  <dcterms:created xsi:type="dcterms:W3CDTF">2021-01-21T09:33:00Z</dcterms:created>
  <dcterms:modified xsi:type="dcterms:W3CDTF">2021-01-21T09:33:00Z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0x0101002F41B0BF3435DE409446F8A4C816A9910B00A7D5DC13A64BA04CAE61A2BC606D7873</vt:lpwstr>
  </property>
  <property fmtid="{D5CDD505-2E9C-101B-9397-08002B2CF9AE}" pid="3" name="Relatie AWVN">
    <vt:lpwstr/>
  </property>
  <property fmtid="{D5CDD505-2E9C-101B-9397-08002B2CF9AE}" pid="4" name="Afdeling AWVN">
    <vt:lpwstr>279;#Arbeidsvoorwaardenbeleid ＆ CAO-info|cf741a20-edec-4fe7-a027-7c7a1ed7f107</vt:lpwstr>
  </property>
  <property fmtid="{D5CDD505-2E9C-101B-9397-08002B2CF9AE}" pid="5" name="_dlc_DocIdItemGuid">
    <vt:lpwstr>6da98c3f-5139-477b-b3d9-988710ce43bb</vt:lpwstr>
  </property>
  <property fmtid="{D5CDD505-2E9C-101B-9397-08002B2CF9AE}" pid="6" name="Product">
    <vt:lpwstr/>
  </property>
  <property fmtid="{D5CDD505-2E9C-101B-9397-08002B2CF9AE}" pid="7" name="Vrij trefwoord">
    <vt:lpwstr/>
  </property>
  <property fmtid="{D5CDD505-2E9C-101B-9397-08002B2CF9AE}" pid="8" name="Documentsoort">
    <vt:lpwstr>30;#Principeakkoord|28fbc5b7-e97a-4a25-b481-44964f35acbb</vt:lpwstr>
  </property>
</Properties>
</file>