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90" w:rsidRPr="00580690" w:rsidRDefault="00580690" w:rsidP="00580690">
      <w:pPr>
        <w:rPr>
          <w:rStyle w:val="Hyperlink"/>
          <w:color w:val="auto"/>
          <w:sz w:val="24"/>
          <w:szCs w:val="24"/>
          <w:u w:val="single"/>
        </w:rPr>
      </w:pPr>
      <w:r w:rsidRPr="00580690">
        <w:rPr>
          <w:rStyle w:val="Hyperlink"/>
          <w:color w:val="auto"/>
          <w:sz w:val="24"/>
          <w:szCs w:val="24"/>
          <w:u w:val="single"/>
        </w:rPr>
        <w:t>Cao onderhandelingsresultaat:</w:t>
      </w:r>
    </w:p>
    <w:p w:rsid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Looptijd cao:</w:t>
      </w: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De cao heeft een looptijd van 18 maanden t.w. van 1 juli 2019 t/m 31 december 2020.</w:t>
      </w:r>
    </w:p>
    <w:p w:rsid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Loonontwikkeling:</w:t>
      </w: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Met terugwerkende kracht per juli 2019 zullen de lonen met 3% stijgen.</w:t>
      </w: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Met terugwerkende kracht per januari 2020 zullen de lonen met 0.75% stijgen.</w:t>
      </w:r>
    </w:p>
    <w:p w:rsid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Pensioen:</w:t>
      </w: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proofErr w:type="spellStart"/>
      <w:r w:rsidRPr="00580690">
        <w:rPr>
          <w:rStyle w:val="Hyperlink"/>
          <w:color w:val="auto"/>
          <w:sz w:val="24"/>
          <w:szCs w:val="24"/>
        </w:rPr>
        <w:t>Corbion</w:t>
      </w:r>
      <w:proofErr w:type="spellEnd"/>
      <w:r w:rsidRPr="00580690">
        <w:rPr>
          <w:rStyle w:val="Hyperlink"/>
          <w:color w:val="auto"/>
          <w:sz w:val="24"/>
          <w:szCs w:val="24"/>
        </w:rPr>
        <w:t xml:space="preserve"> compenseert voor het kalenderjaar 2020 de stijging van de pensioenpremie. </w:t>
      </w: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 xml:space="preserve">Dit betreft de werkgeverspremie van 1.083% en de werknemerspremie van 1.67%, gezamenlijk 2.75%. </w:t>
      </w:r>
    </w:p>
    <w:p w:rsid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Eenmalige uitkering:</w:t>
      </w: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Als de leden van de vakbonden instemmen met dit resultaat</w:t>
      </w:r>
      <w:r>
        <w:rPr>
          <w:rStyle w:val="Hyperlink"/>
          <w:color w:val="auto"/>
          <w:sz w:val="24"/>
          <w:szCs w:val="24"/>
        </w:rPr>
        <w:t>, zullen wij dit melden aan werkgever. In</w:t>
      </w:r>
      <w:r w:rsidRPr="00580690">
        <w:rPr>
          <w:rStyle w:val="Hyperlink"/>
          <w:color w:val="auto"/>
          <w:sz w:val="24"/>
          <w:szCs w:val="24"/>
        </w:rPr>
        <w:t xml:space="preserve"> de maand daaropvolgend </w:t>
      </w:r>
      <w:r>
        <w:rPr>
          <w:rStyle w:val="Hyperlink"/>
          <w:color w:val="auto"/>
          <w:sz w:val="24"/>
          <w:szCs w:val="24"/>
        </w:rPr>
        <w:t xml:space="preserve">zal </w:t>
      </w:r>
      <w:r w:rsidRPr="00580690">
        <w:rPr>
          <w:rStyle w:val="Hyperlink"/>
          <w:color w:val="auto"/>
          <w:sz w:val="24"/>
          <w:szCs w:val="24"/>
        </w:rPr>
        <w:t xml:space="preserve">er een éénmalige uitkering worden uitgevoerd ter hoogte van 350 euro per cao medewerker. </w:t>
      </w:r>
    </w:p>
    <w:p w:rsid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 xml:space="preserve">Overige onderwerpen worden gezien de korte resterende </w:t>
      </w:r>
      <w:r w:rsidR="009532FC">
        <w:rPr>
          <w:rStyle w:val="Hyperlink"/>
          <w:color w:val="auto"/>
          <w:sz w:val="24"/>
          <w:szCs w:val="24"/>
        </w:rPr>
        <w:t xml:space="preserve">periode tot einde van deze cao </w:t>
      </w:r>
      <w:bookmarkStart w:id="0" w:name="_GoBack"/>
      <w:bookmarkEnd w:id="0"/>
      <w:r w:rsidRPr="00580690">
        <w:rPr>
          <w:rStyle w:val="Hyperlink"/>
          <w:color w:val="auto"/>
          <w:sz w:val="24"/>
          <w:szCs w:val="24"/>
        </w:rPr>
        <w:t>doorgeschoven naar de onderhandelingen voor de volgende cao welke in januari 2021 zullen starten.</w:t>
      </w:r>
    </w:p>
    <w:p w:rsidR="00580690" w:rsidRPr="00580690" w:rsidRDefault="00580690" w:rsidP="00580690">
      <w:pPr>
        <w:rPr>
          <w:rStyle w:val="Hyperlink"/>
          <w:color w:val="auto"/>
          <w:sz w:val="24"/>
          <w:szCs w:val="24"/>
        </w:rPr>
      </w:pPr>
      <w:r w:rsidRPr="00580690">
        <w:rPr>
          <w:rStyle w:val="Hyperlink"/>
          <w:color w:val="auto"/>
          <w:sz w:val="24"/>
          <w:szCs w:val="24"/>
        </w:rPr>
        <w:t>Vóór die tijd komen we uiteraard weer bij je terug om te vragen welke onderwerpen je belangrijk vindt voor de cao 2021.</w:t>
      </w:r>
    </w:p>
    <w:p w:rsidR="00580690" w:rsidRDefault="00580690" w:rsidP="00580690">
      <w:pPr>
        <w:rPr>
          <w:rStyle w:val="Hyperlink"/>
          <w:sz w:val="22"/>
        </w:rPr>
      </w:pPr>
    </w:p>
    <w:p w:rsidR="004659FD" w:rsidRDefault="004659FD"/>
    <w:sectPr w:rsidR="0046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B"/>
    <w:rsid w:val="00025E0B"/>
    <w:rsid w:val="004659FD"/>
    <w:rsid w:val="00580690"/>
    <w:rsid w:val="00845FCD"/>
    <w:rsid w:val="008A5392"/>
    <w:rsid w:val="009532FC"/>
    <w:rsid w:val="00AD2A38"/>
    <w:rsid w:val="00C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9270B-7050-4408-8134-63DEB60C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0690"/>
    <w:pPr>
      <w:spacing w:after="0" w:line="28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A47CF"/>
    <w:pPr>
      <w:keepNext/>
      <w:keepLines/>
      <w:spacing w:before="480"/>
      <w:outlineLvl w:val="0"/>
    </w:pPr>
    <w:rPr>
      <w:rFonts w:eastAsiaTheme="majorEastAsia" w:cstheme="majorBidi"/>
      <w:b/>
      <w:bCs/>
      <w:color w:val="009CD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4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CDE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47CF"/>
    <w:pPr>
      <w:keepNext/>
      <w:keepLines/>
      <w:spacing w:before="200"/>
      <w:outlineLvl w:val="2"/>
    </w:pPr>
    <w:rPr>
      <w:rFonts w:eastAsiaTheme="majorEastAsia" w:cstheme="majorBidi"/>
      <w:b/>
      <w:bCs/>
      <w:color w:val="009CD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D2A3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6E6E6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47CF"/>
    <w:rPr>
      <w:rFonts w:eastAsiaTheme="majorEastAsia" w:cstheme="majorBidi"/>
      <w:b/>
      <w:bCs/>
      <w:color w:val="009CD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47CF"/>
    <w:rPr>
      <w:rFonts w:asciiTheme="majorHAnsi" w:eastAsiaTheme="majorEastAsia" w:hAnsiTheme="majorHAnsi" w:cstheme="majorBidi"/>
      <w:b/>
      <w:bCs/>
      <w:color w:val="009CDE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A4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9CDE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47CF"/>
    <w:rPr>
      <w:rFonts w:eastAsiaTheme="majorEastAsia" w:cstheme="majorBidi"/>
      <w:b/>
      <w:color w:val="009CDE"/>
      <w:spacing w:val="5"/>
      <w:kern w:val="28"/>
      <w:sz w:val="44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47CF"/>
    <w:pPr>
      <w:numPr>
        <w:ilvl w:val="1"/>
      </w:numPr>
    </w:pPr>
    <w:rPr>
      <w:rFonts w:eastAsiaTheme="majorEastAsia" w:cstheme="majorBidi"/>
      <w:b/>
      <w:iCs/>
      <w:color w:val="009CDE"/>
      <w:spacing w:val="15"/>
      <w:sz w:val="2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47CF"/>
    <w:rPr>
      <w:rFonts w:eastAsiaTheme="majorEastAsia" w:cstheme="majorBidi"/>
      <w:b/>
      <w:iCs/>
      <w:color w:val="009CDE"/>
      <w:spacing w:val="15"/>
      <w:sz w:val="25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47CF"/>
    <w:rPr>
      <w:rFonts w:eastAsiaTheme="majorEastAsia" w:cstheme="majorBidi"/>
      <w:b/>
      <w:bCs/>
      <w:color w:val="009CDE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D2A38"/>
    <w:rPr>
      <w:rFonts w:eastAsiaTheme="majorEastAsia" w:cstheme="majorBidi"/>
      <w:b/>
      <w:bCs/>
      <w:iCs/>
      <w:color w:val="6E6E6E"/>
      <w:sz w:val="20"/>
    </w:rPr>
  </w:style>
  <w:style w:type="character" w:styleId="Hyperlink">
    <w:name w:val="Hyperlink"/>
    <w:basedOn w:val="Standaardalinea-lettertype"/>
    <w:uiPriority w:val="99"/>
    <w:semiHidden/>
    <w:unhideWhenUsed/>
    <w:qFormat/>
    <w:rsid w:val="00580690"/>
    <w:rPr>
      <w:rFonts w:asciiTheme="minorHAnsi" w:hAnsiTheme="minorHAnsi" w:cs="Arial" w:hint="default"/>
      <w:strike w:val="0"/>
      <w:dstrike w:val="0"/>
      <w:color w:val="07B1D3"/>
      <w:sz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't Hof</dc:creator>
  <cp:keywords/>
  <dc:description/>
  <cp:lastModifiedBy>Soraya Faez</cp:lastModifiedBy>
  <cp:revision>2</cp:revision>
  <dcterms:created xsi:type="dcterms:W3CDTF">2020-10-05T07:37:00Z</dcterms:created>
  <dcterms:modified xsi:type="dcterms:W3CDTF">2020-10-05T07:37:00Z</dcterms:modified>
</cp:coreProperties>
</file>